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DC" w:rsidRDefault="00AD5EFF">
      <w:pPr>
        <w:pStyle w:val="Standard"/>
        <w:ind w:firstLine="11482"/>
      </w:pPr>
      <w:r>
        <w:t xml:space="preserve">Додаток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до Порядку здійснення оцінки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ефективності бюджетних програм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головними розпорядниками коштів </w:t>
      </w:r>
    </w:p>
    <w:p w:rsidR="00296DDC" w:rsidRDefault="00AD5EFF">
      <w:pPr>
        <w:pStyle w:val="3"/>
        <w:spacing w:before="0" w:after="0"/>
        <w:ind w:firstLine="1148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державного бюджету</w:t>
      </w:r>
    </w:p>
    <w:p w:rsidR="00296DDC" w:rsidRDefault="00AD5EFF">
      <w:pPr>
        <w:pStyle w:val="Standard"/>
        <w:ind w:firstLine="11482"/>
      </w:pPr>
      <w:r>
        <w:t>(пункт 2 розділу IV)</w:t>
      </w: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tabs>
          <w:tab w:val="left" w:pos="11482"/>
        </w:tabs>
        <w:jc w:val="center"/>
        <w:rPr>
          <w:b/>
        </w:rPr>
      </w:pPr>
    </w:p>
    <w:p w:rsidR="00296DDC" w:rsidRDefault="00AD5EFF">
      <w:pPr>
        <w:pStyle w:val="Standard"/>
        <w:jc w:val="center"/>
      </w:pPr>
      <w:r>
        <w:rPr>
          <w:b/>
        </w:rPr>
        <w:t>РЕЗУЛЬТАТИ ОЦІНКИ ЕФЕКТИВНОСТІ БЮДЖЕТНОЇ ПРОГРАМИ</w:t>
      </w:r>
    </w:p>
    <w:p w:rsidR="00296DDC" w:rsidRDefault="00AD5EFF">
      <w:pPr>
        <w:pStyle w:val="Standard"/>
        <w:jc w:val="center"/>
      </w:pPr>
      <w:r>
        <w:rPr>
          <w:b/>
        </w:rPr>
        <w:t>за 20</w:t>
      </w:r>
      <w:r w:rsidR="005839C7">
        <w:rPr>
          <w:b/>
        </w:rPr>
        <w:t>22</w:t>
      </w:r>
      <w:r>
        <w:rPr>
          <w:b/>
        </w:rPr>
        <w:t xml:space="preserve"> рік</w:t>
      </w: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p w:rsidR="00296DDC" w:rsidRDefault="00296DDC">
      <w:pPr>
        <w:pStyle w:val="Standard"/>
        <w:jc w:val="center"/>
        <w:rPr>
          <w:b/>
        </w:rPr>
      </w:pPr>
    </w:p>
    <w:tbl>
      <w:tblPr>
        <w:tblW w:w="14980" w:type="dxa"/>
        <w:tblLook w:val="04A0" w:firstRow="1" w:lastRow="0" w:firstColumn="1" w:lastColumn="0" w:noHBand="0" w:noVBand="1"/>
      </w:tblPr>
      <w:tblGrid>
        <w:gridCol w:w="740"/>
        <w:gridCol w:w="1959"/>
        <w:gridCol w:w="1360"/>
        <w:gridCol w:w="10921"/>
      </w:tblGrid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5839C7" w:rsidP="00266BBB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 w:rsidRPr="005839C7">
              <w:rPr>
                <w:b/>
                <w:szCs w:val="20"/>
                <w:u w:val="single"/>
              </w:rPr>
              <w:t>1500000</w:t>
            </w:r>
          </w:p>
        </w:tc>
        <w:tc>
          <w:tcPr>
            <w:tcW w:w="12280" w:type="dxa"/>
            <w:gridSpan w:val="2"/>
            <w:shd w:val="clear" w:color="auto" w:fill="auto"/>
            <w:vAlign w:val="center"/>
          </w:tcPr>
          <w:p w:rsidR="00296DDC" w:rsidRPr="005839C7" w:rsidRDefault="005839C7" w:rsidP="00266BBB">
            <w:pPr>
              <w:pStyle w:val="Standard"/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266BBB">
              <w:rPr>
                <w:b/>
                <w:sz w:val="28"/>
                <w:szCs w:val="20"/>
                <w:u w:val="single"/>
              </w:rPr>
              <w:t>Орган з питань будівництва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(КВКВК ДБ)</w:t>
            </w:r>
          </w:p>
        </w:tc>
        <w:tc>
          <w:tcPr>
            <w:tcW w:w="12280" w:type="dxa"/>
            <w:gridSpan w:val="2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(найменування головного розпорядника коштів)</w:t>
            </w:r>
          </w:p>
        </w:tc>
      </w:tr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239" w:type="dxa"/>
            <w:gridSpan w:val="3"/>
            <w:shd w:val="clear" w:color="auto" w:fill="auto"/>
            <w:vAlign w:val="center"/>
          </w:tcPr>
          <w:p w:rsidR="00296DDC" w:rsidRPr="00266BBB" w:rsidRDefault="00266BBB" w:rsidP="002D271B">
            <w:pPr>
              <w:pStyle w:val="Standard"/>
              <w:spacing w:line="276" w:lineRule="auto"/>
              <w:jc w:val="center"/>
              <w:rPr>
                <w:b/>
                <w:sz w:val="28"/>
                <w:szCs w:val="20"/>
                <w:u w:val="single"/>
              </w:rPr>
            </w:pPr>
            <w:r w:rsidRPr="00266BBB">
              <w:rPr>
                <w:b/>
                <w:sz w:val="28"/>
                <w:szCs w:val="20"/>
                <w:u w:val="single"/>
              </w:rPr>
              <w:t>Д</w:t>
            </w:r>
            <w:r w:rsidR="005839C7" w:rsidRPr="00266BBB">
              <w:rPr>
                <w:b/>
                <w:sz w:val="28"/>
                <w:szCs w:val="20"/>
                <w:u w:val="single"/>
              </w:rPr>
              <w:t>епартамент капітального будівництва містобудування та архітектури Чернівецької обласно</w:t>
            </w:r>
            <w:r w:rsidRPr="00266BBB">
              <w:rPr>
                <w:b/>
                <w:sz w:val="28"/>
                <w:szCs w:val="20"/>
                <w:u w:val="single"/>
              </w:rPr>
              <w:t>ї державної адміністрації</w:t>
            </w:r>
            <w:r>
              <w:rPr>
                <w:b/>
                <w:sz w:val="28"/>
                <w:szCs w:val="20"/>
                <w:u w:val="single"/>
              </w:rPr>
              <w:t xml:space="preserve"> (обласної військової адміністрації)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9" w:type="dxa"/>
            <w:gridSpan w:val="3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(найменування відповідального виконавця бюджетної програми)</w:t>
            </w:r>
          </w:p>
        </w:tc>
      </w:tr>
      <w:tr w:rsidR="00296DDC">
        <w:tc>
          <w:tcPr>
            <w:tcW w:w="740" w:type="dxa"/>
            <w:shd w:val="clear" w:color="auto" w:fill="auto"/>
          </w:tcPr>
          <w:p w:rsidR="00296DDC" w:rsidRDefault="00AD5EFF">
            <w:pPr>
              <w:pStyle w:val="Standard"/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266BBB" w:rsidP="00EA769E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 w:rsidRPr="00266BBB">
              <w:rPr>
                <w:b/>
                <w:szCs w:val="20"/>
                <w:u w:val="single"/>
              </w:rPr>
              <w:t>151</w:t>
            </w:r>
            <w:r w:rsidR="00EA769E">
              <w:rPr>
                <w:b/>
                <w:szCs w:val="20"/>
                <w:u w:val="single"/>
              </w:rPr>
              <w:t>3230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96DDC" w:rsidRPr="00266BBB" w:rsidRDefault="00120474" w:rsidP="00A878EB">
            <w:pPr>
              <w:pStyle w:val="Standard"/>
              <w:spacing w:line="360" w:lineRule="auto"/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0</w:t>
            </w:r>
            <w:r w:rsidR="00A878EB">
              <w:rPr>
                <w:b/>
                <w:szCs w:val="20"/>
                <w:u w:val="single"/>
              </w:rPr>
              <w:t>44</w:t>
            </w:r>
            <w:r>
              <w:rPr>
                <w:b/>
                <w:szCs w:val="20"/>
                <w:u w:val="single"/>
              </w:rPr>
              <w:t>3</w:t>
            </w:r>
          </w:p>
        </w:tc>
        <w:tc>
          <w:tcPr>
            <w:tcW w:w="10920" w:type="dxa"/>
            <w:shd w:val="clear" w:color="auto" w:fill="auto"/>
            <w:vAlign w:val="center"/>
          </w:tcPr>
          <w:p w:rsidR="00296DDC" w:rsidRPr="00266BBB" w:rsidRDefault="00EA769E" w:rsidP="002D271B">
            <w:pPr>
              <w:pStyle w:val="Standard"/>
              <w:spacing w:line="276" w:lineRule="auto"/>
              <w:jc w:val="center"/>
              <w:rPr>
                <w:sz w:val="20"/>
                <w:szCs w:val="20"/>
                <w:u w:val="single"/>
              </w:rPr>
            </w:pPr>
            <w:r w:rsidRPr="00EA769E">
              <w:rPr>
                <w:b/>
                <w:sz w:val="28"/>
                <w:szCs w:val="20"/>
                <w:u w:val="single"/>
              </w:rPr>
              <w:t>Видатки, пов`язані з наданням підтримки внутрішньо перемішеним та/або евакуйованим особам у зв`язку із введенням воєнного стану</w:t>
            </w:r>
          </w:p>
        </w:tc>
      </w:tr>
      <w:tr w:rsidR="00296DDC">
        <w:tc>
          <w:tcPr>
            <w:tcW w:w="740" w:type="dxa"/>
            <w:shd w:val="clear" w:color="auto" w:fill="auto"/>
            <w:vAlign w:val="center"/>
          </w:tcPr>
          <w:p w:rsidR="00296DDC" w:rsidRDefault="00296DDC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(КПКВК ДБ)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(КФКВК)</w:t>
            </w:r>
          </w:p>
        </w:tc>
        <w:tc>
          <w:tcPr>
            <w:tcW w:w="10920" w:type="dxa"/>
            <w:shd w:val="clear" w:color="auto" w:fill="auto"/>
            <w:vAlign w:val="center"/>
          </w:tcPr>
          <w:p w:rsidR="00296DDC" w:rsidRDefault="00AD5EFF">
            <w:pPr>
              <w:pStyle w:val="Standard"/>
              <w:spacing w:line="360" w:lineRule="auto"/>
            </w:pPr>
            <w:r>
              <w:rPr>
                <w:sz w:val="20"/>
                <w:szCs w:val="20"/>
              </w:rPr>
              <w:t xml:space="preserve">                                                             (найменування бюджетної програми)</w:t>
            </w:r>
          </w:p>
        </w:tc>
      </w:tr>
    </w:tbl>
    <w:p w:rsidR="003C7CBD" w:rsidRDefault="003C7CBD">
      <w:pPr>
        <w:pStyle w:val="Standard"/>
        <w:tabs>
          <w:tab w:val="left" w:pos="142"/>
        </w:tabs>
        <w:spacing w:before="120" w:line="259" w:lineRule="auto"/>
        <w:rPr>
          <w:b/>
        </w:rPr>
      </w:pPr>
    </w:p>
    <w:p w:rsidR="00296DDC" w:rsidRDefault="00AD5EFF">
      <w:pPr>
        <w:pStyle w:val="Standard"/>
        <w:tabs>
          <w:tab w:val="left" w:pos="142"/>
        </w:tabs>
        <w:spacing w:before="120" w:line="259" w:lineRule="auto"/>
      </w:pPr>
      <w:r>
        <w:rPr>
          <w:b/>
        </w:rPr>
        <w:t>4. Ціль державної політики:</w:t>
      </w:r>
    </w:p>
    <w:p w:rsidR="00296DDC" w:rsidRDefault="002D271B" w:rsidP="00A878EB">
      <w:pPr>
        <w:pStyle w:val="Standard"/>
        <w:tabs>
          <w:tab w:val="left" w:pos="142"/>
        </w:tabs>
        <w:spacing w:before="120" w:line="259" w:lineRule="auto"/>
        <w:jc w:val="both"/>
        <w:rPr>
          <w:u w:val="single"/>
        </w:rPr>
      </w:pPr>
      <w:r w:rsidRPr="002D271B">
        <w:rPr>
          <w:u w:val="single"/>
        </w:rPr>
        <w:t>1</w:t>
      </w:r>
      <w:r>
        <w:rPr>
          <w:u w:val="single"/>
        </w:rPr>
        <w:t>.</w:t>
      </w:r>
      <w:r w:rsidR="00EA769E">
        <w:t xml:space="preserve"> </w:t>
      </w:r>
      <w:r w:rsidR="00EA769E" w:rsidRPr="00EA769E">
        <w:rPr>
          <w:u w:val="single"/>
        </w:rPr>
        <w:t>Забезпечення підтримки внутрішньо переміщеним та/або евакуйованим особам у зв'язку із веденням воєнного стану</w:t>
      </w:r>
    </w:p>
    <w:p w:rsidR="00296DDC" w:rsidRDefault="00AD5EFF">
      <w:pPr>
        <w:pStyle w:val="Standard"/>
        <w:tabs>
          <w:tab w:val="left" w:pos="142"/>
        </w:tabs>
        <w:spacing w:before="120" w:line="259" w:lineRule="auto"/>
        <w:rPr>
          <w:b/>
        </w:rPr>
      </w:pPr>
      <w:r>
        <w:rPr>
          <w:b/>
        </w:rPr>
        <w:t>Мета бюджетної програми:</w:t>
      </w:r>
    </w:p>
    <w:p w:rsidR="00EA769E" w:rsidRDefault="00EA769E">
      <w:pPr>
        <w:pStyle w:val="Standard"/>
        <w:spacing w:before="120" w:line="259" w:lineRule="auto"/>
        <w:rPr>
          <w:u w:val="single"/>
        </w:rPr>
      </w:pPr>
      <w:r w:rsidRPr="00EA769E">
        <w:rPr>
          <w:u w:val="single"/>
        </w:rPr>
        <w:t>Надання допомоги внутрішньо переміщеним та/або евакуйованим особам у зв'язку із введенням воєнного стану</w:t>
      </w:r>
    </w:p>
    <w:p w:rsidR="00296DDC" w:rsidRDefault="00AD5EFF">
      <w:pPr>
        <w:pStyle w:val="Standard"/>
        <w:spacing w:before="120" w:line="259" w:lineRule="auto"/>
      </w:pPr>
      <w:r>
        <w:rPr>
          <w:b/>
          <w:bCs/>
        </w:rPr>
        <w:t>Завдання</w:t>
      </w:r>
      <w:r>
        <w:t xml:space="preserve"> </w:t>
      </w:r>
      <w:r>
        <w:rPr>
          <w:b/>
        </w:rPr>
        <w:t>бюджетної програми:</w:t>
      </w:r>
    </w:p>
    <w:p w:rsidR="00EA769E" w:rsidRDefault="00EA769E" w:rsidP="00EA769E">
      <w:pPr>
        <w:pStyle w:val="Standard"/>
        <w:numPr>
          <w:ilvl w:val="0"/>
          <w:numId w:val="1"/>
        </w:numPr>
        <w:tabs>
          <w:tab w:val="left" w:pos="567"/>
        </w:tabs>
        <w:spacing w:before="120" w:line="259" w:lineRule="auto"/>
      </w:pPr>
      <w:r w:rsidRPr="00EA769E">
        <w:t>Надання належних умов проживання внутрішньо переміщеним та/або евакуйованим особам у зв</w:t>
      </w:r>
      <w:r>
        <w:t>’</w:t>
      </w:r>
      <w:r w:rsidRPr="00EA769E">
        <w:t>язку із введенням воєнного стану</w:t>
      </w:r>
    </w:p>
    <w:p w:rsidR="001C4BE5" w:rsidRDefault="001C4BE5" w:rsidP="008965C2">
      <w:pPr>
        <w:pStyle w:val="Standard"/>
        <w:spacing w:line="259" w:lineRule="auto"/>
        <w:rPr>
          <w:b/>
        </w:rPr>
      </w:pPr>
    </w:p>
    <w:p w:rsidR="00296DDC" w:rsidRDefault="00AD5EFF" w:rsidP="008965C2">
      <w:pPr>
        <w:pStyle w:val="Standard"/>
        <w:spacing w:line="259" w:lineRule="auto"/>
      </w:pPr>
      <w:r>
        <w:rPr>
          <w:b/>
        </w:rPr>
        <w:lastRenderedPageBreak/>
        <w:t>5.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</w:t>
      </w:r>
    </w:p>
    <w:p w:rsidR="001C4BE5" w:rsidRDefault="00AD5EFF" w:rsidP="008965C2">
      <w:pPr>
        <w:pStyle w:val="Standard"/>
        <w:spacing w:line="259" w:lineRule="auto"/>
        <w:rPr>
          <w:b/>
        </w:rPr>
      </w:pPr>
      <w:r>
        <w:rPr>
          <w:b/>
        </w:rPr>
        <w:t>5.1.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 за напрямами використання бюджетних коштів</w:t>
      </w:r>
      <w:r w:rsidR="008965C2">
        <w:rPr>
          <w:b/>
        </w:rPr>
        <w:t xml:space="preserve">  </w:t>
      </w:r>
    </w:p>
    <w:p w:rsidR="00296DDC" w:rsidRDefault="008965C2" w:rsidP="001C4BE5">
      <w:pPr>
        <w:pStyle w:val="Standard"/>
        <w:spacing w:line="259" w:lineRule="auto"/>
        <w:jc w:val="right"/>
      </w:pPr>
      <w:r>
        <w:rPr>
          <w:b/>
        </w:rPr>
        <w:t xml:space="preserve">                                                                                        </w:t>
      </w:r>
      <w:r w:rsidR="007D1760">
        <w:t>(тис</w:t>
      </w:r>
      <w:r w:rsidR="00AD5EFF">
        <w:t xml:space="preserve"> грн)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962"/>
        <w:gridCol w:w="2042"/>
        <w:gridCol w:w="2041"/>
        <w:gridCol w:w="2042"/>
        <w:gridCol w:w="2041"/>
        <w:gridCol w:w="2040"/>
      </w:tblGrid>
      <w:tr w:rsidR="00296DDC" w:rsidTr="002D271B">
        <w:trPr>
          <w:cantSplit/>
          <w:trHeight w:val="90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Напрями використання бюджетних коштів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 зі змінами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плану зі змінами від плану (+/-)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факту від плану зі змінами (+/-)</w:t>
            </w:r>
          </w:p>
        </w:tc>
      </w:tr>
      <w:tr w:rsidR="00296DDC" w:rsidTr="002D271B">
        <w:trPr>
          <w:cantSplit/>
          <w:trHeight w:val="2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96DDC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 w:rsidP="0085006A">
            <w:pPr>
              <w:pStyle w:val="Standard"/>
            </w:pPr>
            <w:r>
              <w:rPr>
                <w:lang w:eastAsia="uk-UA"/>
              </w:rPr>
              <w:t xml:space="preserve">ВСЬОГО за бюджетною програмою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EA769E" w:rsidP="00EA769E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9 912,7</w:t>
            </w:r>
            <w:r w:rsidR="00697451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7C26A5" w:rsidP="002202BD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15 401,26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0F6780" w:rsidRDefault="007C26A5" w:rsidP="000F6780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11 327,98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7C26A5" w:rsidP="003C7CBD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5 488,56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2D271B" w:rsidP="007C26A5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 w:rsidRPr="009E0A05">
              <w:rPr>
                <w:b/>
                <w:sz w:val="24"/>
                <w:szCs w:val="24"/>
                <w:lang w:val="uk-UA"/>
              </w:rPr>
              <w:t>-</w:t>
            </w:r>
            <w:r w:rsidR="007C26A5">
              <w:rPr>
                <w:b/>
                <w:sz w:val="24"/>
                <w:szCs w:val="24"/>
                <w:lang w:val="uk-UA"/>
              </w:rPr>
              <w:t>4 073,28</w:t>
            </w:r>
          </w:p>
        </w:tc>
      </w:tr>
      <w:tr w:rsidR="00296DDC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85006A" w:rsidP="0085006A">
            <w:pPr>
              <w:pStyle w:val="Standard"/>
              <w:tabs>
                <w:tab w:val="left" w:pos="720"/>
              </w:tabs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 xml:space="preserve">.: </w:t>
            </w:r>
            <w:r>
              <w:rPr>
                <w:lang w:eastAsia="uk-UA"/>
              </w:rPr>
              <w:tab/>
            </w:r>
            <w:r w:rsidR="00AD5EFF">
              <w:rPr>
                <w:lang w:eastAsia="uk-UA"/>
              </w:rPr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96DDC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85006A" w:rsidP="0085006A">
            <w:pPr>
              <w:pStyle w:val="Standard"/>
              <w:tabs>
                <w:tab w:val="left" w:pos="729"/>
                <w:tab w:val="left" w:pos="2572"/>
              </w:tabs>
            </w:pPr>
            <w:r>
              <w:rPr>
                <w:lang w:eastAsia="uk-UA"/>
              </w:rPr>
              <w:tab/>
            </w:r>
            <w:r w:rsidR="00AD5EFF">
              <w:rPr>
                <w:lang w:eastAsia="uk-UA"/>
              </w:rPr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A13DD7" w:rsidRDefault="00EA769E" w:rsidP="002202BD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9 912,70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9E0A05" w:rsidRDefault="007C26A5" w:rsidP="002202BD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15 401,26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7C26A5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11 327,98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7C26A5" w:rsidRDefault="007C26A5" w:rsidP="003C7CBD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7C26A5">
              <w:rPr>
                <w:sz w:val="24"/>
                <w:szCs w:val="24"/>
                <w:lang w:val="uk-UA"/>
              </w:rPr>
              <w:t>5 488,56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D5426C" w:rsidRDefault="00D5426C" w:rsidP="007C26A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D5426C">
              <w:rPr>
                <w:sz w:val="24"/>
                <w:szCs w:val="24"/>
                <w:lang w:val="uk-UA"/>
              </w:rPr>
              <w:t>-</w:t>
            </w:r>
            <w:r w:rsidR="007C26A5">
              <w:rPr>
                <w:sz w:val="24"/>
                <w:szCs w:val="24"/>
                <w:lang w:val="uk-UA"/>
              </w:rPr>
              <w:t>4 073,28</w:t>
            </w:r>
          </w:p>
        </w:tc>
      </w:tr>
      <w:tr w:rsidR="00BF44B2" w:rsidTr="001C4BE5">
        <w:trPr>
          <w:cantSplit/>
          <w:trHeight w:val="15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EA769E" w:rsidP="00EA769E">
            <w:pPr>
              <w:pStyle w:val="Standard"/>
              <w:numPr>
                <w:ilvl w:val="0"/>
                <w:numId w:val="4"/>
              </w:numPr>
            </w:pPr>
            <w:r w:rsidRPr="00EA769E">
              <w:t>Здійснення капітального ремонту будівель та приміщень  для розміщення внутрішньо переміщених та/або евакуйованих осіб у зв'язку із введенням воєнного стану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EA769E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9 912,70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7C26A5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15 401,26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7C26A5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11 327,98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7C26A5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 w:rsidRPr="007C26A5">
              <w:rPr>
                <w:sz w:val="24"/>
                <w:szCs w:val="24"/>
                <w:lang w:val="uk-UA"/>
              </w:rPr>
              <w:t>5 488,56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7C26A5" w:rsidP="001C4BE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D5426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4 073,28</w:t>
            </w:r>
          </w:p>
        </w:tc>
      </w:tr>
      <w:tr w:rsidR="00BF44B2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 xml:space="preserve">у </w:t>
            </w:r>
            <w:proofErr w:type="spellStart"/>
            <w:r>
              <w:rPr>
                <w:lang w:eastAsia="uk-UA"/>
              </w:rPr>
              <w:t>т.ч</w:t>
            </w:r>
            <w:proofErr w:type="spellEnd"/>
            <w:r>
              <w:rPr>
                <w:lang w:eastAsia="uk-UA"/>
              </w:rPr>
              <w:t>.:</w:t>
            </w:r>
            <w:r>
              <w:rPr>
                <w:lang w:eastAsia="uk-UA"/>
              </w:rPr>
              <w:tab/>
              <w:t>загальний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BF44B2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F44B2" w:rsidTr="002D271B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4B2" w:rsidRDefault="00BF44B2" w:rsidP="00BF44B2">
            <w:pPr>
              <w:pStyle w:val="Standard"/>
            </w:pPr>
            <w:r>
              <w:rPr>
                <w:lang w:eastAsia="uk-UA"/>
              </w:rPr>
              <w:tab/>
              <w:t>спеціальний фонд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EA769E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9 912,70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Pr="009E0A05" w:rsidRDefault="007C26A5" w:rsidP="00BF44B2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15 401,26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7C26A5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11 327,98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7C26A5" w:rsidP="00BF44B2">
            <w:pPr>
              <w:pStyle w:val="1"/>
              <w:spacing w:before="120"/>
              <w:jc w:val="center"/>
              <w:rPr>
                <w:b/>
                <w:sz w:val="24"/>
                <w:szCs w:val="24"/>
                <w:lang w:val="uk-UA"/>
              </w:rPr>
            </w:pPr>
            <w:r w:rsidRPr="007C26A5">
              <w:rPr>
                <w:sz w:val="24"/>
                <w:szCs w:val="24"/>
                <w:lang w:val="uk-UA"/>
              </w:rPr>
              <w:t>5 488,56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4B2" w:rsidRDefault="007C26A5" w:rsidP="001C4BE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D5426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4 073,28</w:t>
            </w:r>
          </w:p>
        </w:tc>
      </w:tr>
    </w:tbl>
    <w:p w:rsidR="00584B5C" w:rsidRDefault="00584B5C" w:rsidP="001C4BE5">
      <w:pPr>
        <w:pStyle w:val="Standard"/>
        <w:spacing w:line="259" w:lineRule="auto"/>
      </w:pPr>
    </w:p>
    <w:p w:rsidR="00584B5C" w:rsidRDefault="00AD5EFF" w:rsidP="00E83E08">
      <w:pPr>
        <w:pStyle w:val="Standard"/>
        <w:spacing w:line="259" w:lineRule="auto"/>
        <w:ind w:firstLine="567"/>
        <w:jc w:val="both"/>
      </w:pPr>
      <w:r>
        <w:t>Пояснення щодо відхилень:</w:t>
      </w:r>
      <w:r w:rsidR="002202BD" w:rsidRPr="002202BD">
        <w:t xml:space="preserve"> </w:t>
      </w:r>
      <w:r w:rsidR="00565095" w:rsidRPr="00565095">
        <w:t xml:space="preserve">Підрядні організації не виконали свої зобов’язання згідно договору. Ведуться </w:t>
      </w:r>
      <w:proofErr w:type="spellStart"/>
      <w:r w:rsidR="00565095" w:rsidRPr="00565095">
        <w:t>притензійні</w:t>
      </w:r>
      <w:proofErr w:type="spellEnd"/>
      <w:r w:rsidR="00565095" w:rsidRPr="00565095">
        <w:t xml:space="preserve"> роботи.</w:t>
      </w:r>
    </w:p>
    <w:p w:rsidR="00584B5C" w:rsidRDefault="00584B5C" w:rsidP="001C4BE5">
      <w:pPr>
        <w:pStyle w:val="Standard"/>
        <w:spacing w:line="259" w:lineRule="auto"/>
        <w:rPr>
          <w:b/>
        </w:rPr>
      </w:pPr>
    </w:p>
    <w:p w:rsidR="00296DDC" w:rsidRDefault="00AD5EFF" w:rsidP="001C4BE5">
      <w:pPr>
        <w:pStyle w:val="Standard"/>
        <w:spacing w:line="259" w:lineRule="auto"/>
      </w:pPr>
      <w:r>
        <w:rPr>
          <w:b/>
        </w:rPr>
        <w:t>5.2. Видатки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надання кредитів за кодами економічної класифікації видатків бюджету</w:t>
      </w:r>
      <w:r w:rsidR="006D1E82">
        <w:rPr>
          <w:b/>
        </w:rPr>
        <w:t xml:space="preserve"> </w:t>
      </w:r>
      <w:r>
        <w:rPr>
          <w:b/>
        </w:rPr>
        <w:t>/</w:t>
      </w:r>
      <w:r w:rsidR="006D1E82">
        <w:rPr>
          <w:b/>
        </w:rPr>
        <w:t xml:space="preserve"> </w:t>
      </w:r>
      <w:r>
        <w:rPr>
          <w:b/>
        </w:rPr>
        <w:t>класифікації кредитування бюджету</w:t>
      </w:r>
    </w:p>
    <w:p w:rsidR="00296DDC" w:rsidRDefault="00AD5EFF">
      <w:pPr>
        <w:pStyle w:val="Standard"/>
        <w:tabs>
          <w:tab w:val="left" w:pos="13892"/>
        </w:tabs>
        <w:ind w:right="66"/>
        <w:jc w:val="right"/>
      </w:pPr>
      <w:r>
        <w:t>(тис грн)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69"/>
        <w:gridCol w:w="1350"/>
        <w:gridCol w:w="1390"/>
        <w:gridCol w:w="1350"/>
        <w:gridCol w:w="1390"/>
        <w:gridCol w:w="1351"/>
        <w:gridCol w:w="1390"/>
        <w:gridCol w:w="1349"/>
        <w:gridCol w:w="1391"/>
        <w:gridCol w:w="1349"/>
        <w:gridCol w:w="1389"/>
      </w:tblGrid>
      <w:tr w:rsidR="00296DDC" w:rsidTr="003A63A9">
        <w:trPr>
          <w:cantSplit/>
          <w:trHeight w:val="570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КЕКВ/</w:t>
            </w:r>
          </w:p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ККК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План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План зі змінами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Факт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Відхилення плану зі змінами від плану (+/-)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Відхилення факту від плану зі змінами (+/-)</w:t>
            </w:r>
          </w:p>
        </w:tc>
      </w:tr>
      <w:tr w:rsidR="00296DDC" w:rsidTr="003A63A9">
        <w:trPr>
          <w:cantSplit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Спеціальний фонд</w:t>
            </w:r>
          </w:p>
        </w:tc>
      </w:tr>
      <w:tr w:rsidR="00296DDC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11</w:t>
            </w:r>
          </w:p>
        </w:tc>
      </w:tr>
      <w:tr w:rsidR="00E16959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8965C2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313</w:t>
            </w:r>
            <w:r w:rsidRPr="008965C2">
              <w:rPr>
                <w:b/>
                <w:sz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Default="00E16959" w:rsidP="00E16959">
            <w:pPr>
              <w:pStyle w:val="Standard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565095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t>9 912,70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565095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t>15 401,26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565095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>
              <w:t>11 327,98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565095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 w:rsidRPr="007C26A5">
              <w:t>5 488,56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E16959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3A63A9" w:rsidRDefault="00565095" w:rsidP="00E16959">
            <w:pPr>
              <w:pStyle w:val="Standard"/>
              <w:spacing w:before="120" w:after="120"/>
              <w:jc w:val="center"/>
              <w:rPr>
                <w:sz w:val="22"/>
              </w:rPr>
            </w:pPr>
            <w:r w:rsidRPr="00D5426C">
              <w:t>-</w:t>
            </w:r>
            <w:r>
              <w:t>4 073,28</w:t>
            </w:r>
          </w:p>
        </w:tc>
      </w:tr>
      <w:tr w:rsidR="00E16959" w:rsidTr="003A63A9">
        <w:trPr>
          <w:cantSplit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rPr>
                <w:b/>
              </w:rPr>
            </w:pPr>
            <w:r w:rsidRPr="000F6780">
              <w:rPr>
                <w:b/>
                <w:sz w:val="22"/>
              </w:rPr>
              <w:t>ВСЬОГО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565095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</w:rPr>
              <w:t>9 912,70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565095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</w:rPr>
              <w:t>15 401,26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565095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</w:rPr>
              <w:t>11 327,98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565095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</w:rPr>
              <w:t>5 488,56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E16959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9" w:rsidRPr="000F6780" w:rsidRDefault="00565095" w:rsidP="00E16959">
            <w:pPr>
              <w:pStyle w:val="Standard"/>
              <w:spacing w:before="120" w:after="120"/>
              <w:jc w:val="center"/>
              <w:rPr>
                <w:b/>
                <w:sz w:val="22"/>
              </w:rPr>
            </w:pPr>
            <w:r w:rsidRPr="009E0A05">
              <w:rPr>
                <w:b/>
              </w:rPr>
              <w:t>-</w:t>
            </w:r>
            <w:r>
              <w:rPr>
                <w:b/>
              </w:rPr>
              <w:t>4 073,28</w:t>
            </w:r>
          </w:p>
        </w:tc>
      </w:tr>
    </w:tbl>
    <w:p w:rsidR="003E6145" w:rsidRDefault="00AD5EFF" w:rsidP="00E16959">
      <w:pPr>
        <w:pStyle w:val="Standard"/>
        <w:spacing w:before="240" w:line="259" w:lineRule="auto"/>
      </w:pPr>
      <w:r>
        <w:lastRenderedPageBreak/>
        <w:t xml:space="preserve">Кількість змін до плану </w:t>
      </w:r>
      <w:r w:rsidR="00565095">
        <w:t>3</w:t>
      </w:r>
      <w:r>
        <w:t>, з них змін на підставі про</w:t>
      </w:r>
      <w:r w:rsidR="003A63A9">
        <w:t xml:space="preserve">позицій головного розпорядника </w:t>
      </w:r>
      <w:r w:rsidR="00E16959">
        <w:t>0</w:t>
      </w:r>
      <w:r w:rsidR="003A63A9">
        <w:t>.</w:t>
      </w:r>
    </w:p>
    <w:p w:rsidR="003E6145" w:rsidRDefault="00AD5EFF" w:rsidP="00E16959">
      <w:pPr>
        <w:pStyle w:val="Standard"/>
        <w:spacing w:before="240" w:line="259" w:lineRule="auto"/>
      </w:pPr>
      <w:r>
        <w:t>Пояснення щодо відхилень:</w:t>
      </w:r>
      <w:r w:rsidR="003A63A9">
        <w:t xml:space="preserve"> </w:t>
      </w:r>
      <w:r w:rsidR="00E16959" w:rsidRPr="00E16959">
        <w:t xml:space="preserve">У зв’язку </w:t>
      </w:r>
      <w:r w:rsidR="003E6145" w:rsidRPr="003E6145">
        <w:t>не виконання</w:t>
      </w:r>
      <w:r w:rsidR="003E6145">
        <w:t>м</w:t>
      </w:r>
      <w:r w:rsidR="003E6145" w:rsidRPr="003E6145">
        <w:t xml:space="preserve"> договірних зобов’язань  підрядною організацією відповідно до договору, щодо об’ємів виконання робіт згідно визначених термінів. Ведуться </w:t>
      </w:r>
      <w:proofErr w:type="spellStart"/>
      <w:r w:rsidR="003E6145" w:rsidRPr="003E6145">
        <w:t>притензійні</w:t>
      </w:r>
      <w:proofErr w:type="spellEnd"/>
      <w:r w:rsidR="003E6145" w:rsidRPr="003E6145">
        <w:t xml:space="preserve"> роботи.</w:t>
      </w:r>
    </w:p>
    <w:p w:rsidR="00296DDC" w:rsidRDefault="00AD5EFF" w:rsidP="00E16959">
      <w:pPr>
        <w:pStyle w:val="Standard"/>
        <w:spacing w:before="240" w:line="259" w:lineRule="auto"/>
      </w:pPr>
      <w:r>
        <w:rPr>
          <w:b/>
        </w:rPr>
        <w:t>6. Стан фінансової дисципліни</w:t>
      </w:r>
    </w:p>
    <w:p w:rsidR="00296DDC" w:rsidRDefault="00AD5EFF">
      <w:pPr>
        <w:pStyle w:val="Standard"/>
        <w:jc w:val="right"/>
      </w:pPr>
      <w:r>
        <w:t>(тис грн)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27"/>
        <w:gridCol w:w="2127"/>
        <w:gridCol w:w="2269"/>
        <w:gridCol w:w="2268"/>
        <w:gridCol w:w="2269"/>
        <w:gridCol w:w="2268"/>
      </w:tblGrid>
      <w:tr w:rsidR="00296DDC" w:rsidTr="00C25935">
        <w:trPr>
          <w:trHeight w:val="453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  <w:szCs w:val="20"/>
                <w:lang w:eastAsia="uk-UA"/>
              </w:rPr>
            </w:pPr>
            <w:r>
              <w:rPr>
                <w:b/>
                <w:szCs w:val="20"/>
                <w:lang w:eastAsia="uk-UA"/>
              </w:rPr>
              <w:t>КЕКВ/ККК</w:t>
            </w:r>
          </w:p>
        </w:tc>
        <w:tc>
          <w:tcPr>
            <w:tcW w:w="6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Дебіторська заборгованість</w:t>
            </w:r>
          </w:p>
        </w:tc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Кредиторська заборгованість</w:t>
            </w:r>
          </w:p>
        </w:tc>
      </w:tr>
      <w:tr w:rsidR="00296DDC" w:rsidTr="00C25935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7C26A5">
            <w:pPr>
              <w:pStyle w:val="Standard"/>
              <w:jc w:val="center"/>
            </w:pPr>
            <w:hyperlink r:id="rId8">
              <w:r w:rsidR="00AD5EFF">
                <w:rPr>
                  <w:rStyle w:val="ListLabel3"/>
                </w:rPr>
                <w:t>на початок звітного року</w:t>
              </w:r>
            </w:hyperlink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7C26A5">
            <w:pPr>
              <w:pStyle w:val="Standard"/>
              <w:jc w:val="center"/>
            </w:pPr>
            <w:hyperlink r:id="rId9">
              <w:r w:rsidR="00AD5EFF">
                <w:rPr>
                  <w:rStyle w:val="ListLabel3"/>
                </w:rPr>
                <w:t>на кінець звітного року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7C26A5">
            <w:pPr>
              <w:pStyle w:val="Standard"/>
              <w:jc w:val="center"/>
            </w:pPr>
            <w:hyperlink r:id="rId10">
              <w:r w:rsidR="00AD5EFF">
                <w:rPr>
                  <w:rStyle w:val="ListLabel3"/>
                </w:rPr>
                <w:t>на початок звітного року</w:t>
              </w:r>
            </w:hyperlink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7C26A5">
            <w:pPr>
              <w:pStyle w:val="Standard"/>
              <w:jc w:val="center"/>
            </w:pPr>
            <w:hyperlink r:id="rId11">
              <w:r w:rsidR="00AD5EFF">
                <w:rPr>
                  <w:rStyle w:val="ListLabel3"/>
                </w:rPr>
                <w:t>на кінець звітного року</w:t>
              </w:r>
            </w:hyperlink>
          </w:p>
        </w:tc>
      </w:tr>
      <w:tr w:rsidR="00296DDC" w:rsidTr="00C25935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7C26A5">
            <w:pPr>
              <w:pStyle w:val="Standard"/>
              <w:jc w:val="center"/>
            </w:pPr>
            <w:hyperlink r:id="rId12">
              <w:r w:rsidR="00AD5EFF">
                <w:rPr>
                  <w:rStyle w:val="ListLabel3"/>
                </w:rPr>
                <w:t>всього</w:t>
              </w:r>
            </w:hyperlink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7C26A5">
            <w:pPr>
              <w:pStyle w:val="Standard"/>
              <w:jc w:val="center"/>
            </w:pPr>
            <w:hyperlink r:id="rId13">
              <w:r w:rsidR="00AD5EFF">
                <w:rPr>
                  <w:rStyle w:val="ListLabel3"/>
                </w:rPr>
                <w:t>з неї прострочена</w:t>
              </w:r>
            </w:hyperlink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7C26A5">
            <w:pPr>
              <w:pStyle w:val="Standard"/>
              <w:jc w:val="center"/>
            </w:pPr>
            <w:hyperlink r:id="rId14">
              <w:r w:rsidR="00AD5EFF">
                <w:rPr>
                  <w:rStyle w:val="ListLabel3"/>
                </w:rPr>
                <w:t>всього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7C26A5">
            <w:pPr>
              <w:pStyle w:val="Standard"/>
              <w:jc w:val="center"/>
            </w:pPr>
            <w:hyperlink r:id="rId15">
              <w:r w:rsidR="00AD5EFF">
                <w:rPr>
                  <w:rStyle w:val="ListLabel3"/>
                </w:rPr>
                <w:t>з неї прострочена</w:t>
              </w:r>
            </w:hyperlink>
          </w:p>
        </w:tc>
      </w:tr>
      <w:tr w:rsidR="00296DDC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  <w:lang w:eastAsia="uk-UA"/>
              </w:rPr>
              <w:t>7</w:t>
            </w:r>
          </w:p>
        </w:tc>
      </w:tr>
      <w:tr w:rsidR="00296DDC" w:rsidTr="00C25935">
        <w:trPr>
          <w:trHeight w:val="609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</w:pPr>
            <w:r>
              <w:rPr>
                <w:lang w:eastAsia="uk-UA"/>
              </w:rPr>
              <w:t>ВСЬОГО за бюджетною програмою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C25935" w:rsidRDefault="00296DDC" w:rsidP="00C259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</w:tr>
      <w:tr w:rsidR="00296DDC" w:rsidTr="00C25935">
        <w:trPr>
          <w:trHeight w:val="609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</w:pPr>
            <w:r>
              <w:rPr>
                <w:szCs w:val="20"/>
                <w:lang w:eastAsia="uk-UA"/>
              </w:rPr>
              <w:t>Загальний фонд, всього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C25935">
            <w:pPr>
              <w:pStyle w:val="Standard"/>
              <w:spacing w:before="120"/>
              <w:jc w:val="center"/>
              <w:rPr>
                <w:i/>
                <w:szCs w:val="20"/>
                <w:lang w:eastAsia="uk-UA"/>
              </w:rPr>
            </w:pPr>
          </w:p>
        </w:tc>
      </w:tr>
      <w:tr w:rsidR="00C25935" w:rsidTr="00C25935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935" w:rsidRDefault="00C25935" w:rsidP="00C25935">
            <w:pPr>
              <w:pStyle w:val="Standard"/>
            </w:pPr>
            <w:r>
              <w:rPr>
                <w:szCs w:val="20"/>
                <w:lang w:eastAsia="uk-UA"/>
              </w:rPr>
              <w:t>Спеціальний фонд, всього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Default="00C25935" w:rsidP="00C25935">
            <w:pPr>
              <w:pStyle w:val="Standard"/>
              <w:spacing w:before="120"/>
              <w:rPr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935" w:rsidRPr="00EA1A35" w:rsidRDefault="00C25935" w:rsidP="00EA1A35">
            <w:pPr>
              <w:pStyle w:val="Standard"/>
              <w:tabs>
                <w:tab w:val="left" w:pos="495"/>
                <w:tab w:val="center" w:pos="1026"/>
              </w:tabs>
              <w:spacing w:before="120"/>
              <w:jc w:val="center"/>
              <w:rPr>
                <w:b/>
                <w:i/>
                <w:szCs w:val="20"/>
                <w:lang w:eastAsia="uk-UA"/>
              </w:rPr>
            </w:pPr>
          </w:p>
        </w:tc>
      </w:tr>
    </w:tbl>
    <w:p w:rsidR="00296DDC" w:rsidRPr="00EA1A35" w:rsidRDefault="00AD5EFF" w:rsidP="00EA1A35">
      <w:pPr>
        <w:pStyle w:val="Standard"/>
        <w:spacing w:before="240" w:line="259" w:lineRule="auto"/>
        <w:rPr>
          <w:b/>
        </w:rPr>
      </w:pPr>
      <w:r>
        <w:t>Пояснення щодо наявності та збільшення обсягів дебіторської та кредиторської заборгованостей:</w:t>
      </w:r>
      <w:r w:rsidR="00EA1A35">
        <w:t xml:space="preserve"> </w:t>
      </w:r>
      <w:r w:rsidR="008965C2">
        <w:t xml:space="preserve">Заборгованість </w:t>
      </w:r>
      <w:r w:rsidR="003E6145">
        <w:t>відсутня</w:t>
      </w:r>
      <w:r w:rsidR="008965C2">
        <w:t>.</w:t>
      </w:r>
    </w:p>
    <w:p w:rsidR="00296DDC" w:rsidRDefault="00AD5EFF">
      <w:pPr>
        <w:pStyle w:val="Standard"/>
        <w:spacing w:before="240" w:after="120"/>
      </w:pPr>
      <w:r>
        <w:rPr>
          <w:b/>
        </w:rPr>
        <w:t xml:space="preserve">7. Результативні показники </w:t>
      </w:r>
    </w:p>
    <w:p w:rsidR="00296DDC" w:rsidRDefault="00AD5EFF">
      <w:pPr>
        <w:pStyle w:val="Standard"/>
        <w:spacing w:before="120" w:after="120"/>
      </w:pPr>
      <w:r>
        <w:rPr>
          <w:b/>
        </w:rPr>
        <w:t>7.1. Результативні показники за напрямами використання бюджетних коштів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71"/>
        <w:gridCol w:w="2239"/>
        <w:gridCol w:w="2241"/>
        <w:gridCol w:w="2238"/>
        <w:gridCol w:w="2241"/>
        <w:gridCol w:w="2238"/>
      </w:tblGrid>
      <w:tr w:rsidR="00296DDC" w:rsidTr="004B499E">
        <w:trPr>
          <w:cantSplit/>
          <w:trHeight w:val="90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ind w:right="-119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Результативні показники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План зі змінами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Факт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плану зі змінами від плану (+/-)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факту від плану зі змінами (+/-)</w:t>
            </w:r>
          </w:p>
        </w:tc>
      </w:tr>
      <w:tr w:rsidR="00296DDC" w:rsidTr="004B499E">
        <w:trPr>
          <w:cantSplit/>
          <w:trHeight w:val="20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27821" w:rsidTr="004B499E">
        <w:trPr>
          <w:cantSplit/>
          <w:trHeight w:val="200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F27821" w:rsidRDefault="00F2782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F27821">
              <w:rPr>
                <w:b/>
                <w:szCs w:val="20"/>
              </w:rPr>
              <w:t>затрат (тисяч гривень)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F27821">
            <w:pPr>
              <w:pStyle w:val="1"/>
              <w:jc w:val="center"/>
              <w:rPr>
                <w:lang w:val="uk-UA"/>
              </w:rPr>
            </w:pPr>
          </w:p>
        </w:tc>
      </w:tr>
      <w:tr w:rsidR="004B499E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Default="003E6145" w:rsidP="004B499E">
            <w:pPr>
              <w:pStyle w:val="Standard"/>
            </w:pPr>
            <w:r w:rsidRPr="003E6145">
              <w:t>Обсяг видатків на капітальний ремонт об’єктів для розміщення внутрішньо переміщених та/або евакуйованих осіб у зв`язку із введенням воєнного стану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9 912,70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15 401,26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11 327,98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7C26A5">
              <w:rPr>
                <w:sz w:val="24"/>
                <w:szCs w:val="24"/>
                <w:lang w:val="uk-UA"/>
              </w:rPr>
              <w:t>5 488,56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99E" w:rsidRPr="008173A7" w:rsidRDefault="003E6145" w:rsidP="003202CB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D5426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4 073,28</w:t>
            </w:r>
          </w:p>
        </w:tc>
      </w:tr>
      <w:tr w:rsidR="0047361B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8173A7" w:rsidP="008173A7">
            <w:pPr>
              <w:pStyle w:val="Standard"/>
              <w:jc w:val="center"/>
              <w:rPr>
                <w:b/>
              </w:rPr>
            </w:pPr>
            <w:r w:rsidRPr="008173A7">
              <w:rPr>
                <w:b/>
              </w:rPr>
              <w:lastRenderedPageBreak/>
              <w:t>продукту (одиниць)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61B" w:rsidRPr="008173A7" w:rsidRDefault="0047361B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27821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3E6145" w:rsidP="008173A7">
            <w:pPr>
              <w:pStyle w:val="Standard"/>
            </w:pPr>
            <w:r w:rsidRPr="003E6145">
              <w:t>Кількість об’єктів на яких заплановано здійснити капітальний ремонт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27821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Default="00E61CC6" w:rsidP="00E61CC6">
            <w:pPr>
              <w:pStyle w:val="Standard"/>
              <w:jc w:val="center"/>
            </w:pPr>
            <w:r>
              <w:rPr>
                <w:b/>
              </w:rPr>
              <w:t>ефективності</w:t>
            </w:r>
            <w:r w:rsidRPr="008173A7">
              <w:rPr>
                <w:b/>
              </w:rPr>
              <w:t xml:space="preserve"> (</w:t>
            </w:r>
            <w:r w:rsidRPr="00F27821">
              <w:rPr>
                <w:b/>
                <w:szCs w:val="20"/>
              </w:rPr>
              <w:t>тисяч гривень</w:t>
            </w:r>
            <w:r w:rsidRPr="008173A7">
              <w:rPr>
                <w:b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21" w:rsidRPr="008173A7" w:rsidRDefault="00F27821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3E6145" w:rsidP="004B499E">
            <w:pPr>
              <w:pStyle w:val="Standard"/>
            </w:pPr>
            <w:r w:rsidRPr="003E6145">
              <w:t>Середній обсяг витрат на 1 об’єкт, де заплановано здійснити капітальний ремонт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3E614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E6145">
              <w:rPr>
                <w:sz w:val="24"/>
                <w:szCs w:val="24"/>
                <w:lang w:val="uk-UA"/>
              </w:rPr>
              <w:t> 478,18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3 850,32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2 832,00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1 372,14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C87C11" w:rsidP="003E6145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E6145">
              <w:rPr>
                <w:sz w:val="24"/>
                <w:szCs w:val="24"/>
                <w:lang w:val="uk-UA"/>
              </w:rPr>
              <w:t>1 018,32</w:t>
            </w: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E61CC6" w:rsidRDefault="00E61CC6" w:rsidP="00E61CC6">
            <w:pPr>
              <w:pStyle w:val="Standard"/>
              <w:jc w:val="center"/>
              <w:rPr>
                <w:b/>
              </w:rPr>
            </w:pPr>
            <w:r w:rsidRPr="00E61CC6">
              <w:rPr>
                <w:b/>
              </w:rPr>
              <w:t>якості</w:t>
            </w:r>
            <w:r>
              <w:rPr>
                <w:b/>
              </w:rPr>
              <w:t xml:space="preserve"> (відсотки)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1CC6" w:rsidTr="00E67160">
        <w:trPr>
          <w:cantSplit/>
          <w:trHeight w:val="2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Default="003E6145" w:rsidP="00E61CC6">
            <w:pPr>
              <w:pStyle w:val="Standard"/>
            </w:pPr>
            <w:r w:rsidRPr="003E6145">
              <w:t>Ступінь готовності проведеного капітального ремонту на кінець звітного періоду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E61CC6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CC6" w:rsidRPr="008173A7" w:rsidRDefault="003E6145" w:rsidP="004B499E">
            <w:pPr>
              <w:pStyle w:val="1"/>
              <w:spacing w:before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-26</w:t>
            </w:r>
          </w:p>
        </w:tc>
      </w:tr>
      <w:tr w:rsidR="004B499E" w:rsidTr="00E67160">
        <w:trPr>
          <w:cantSplit/>
          <w:trHeight w:val="401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99E" w:rsidRDefault="004B499E" w:rsidP="003D1466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Пояснення щодо досягнення запланованих результатів</w:t>
            </w:r>
            <w:r w:rsidR="00E67160">
              <w:rPr>
                <w:sz w:val="24"/>
                <w:szCs w:val="24"/>
                <w:lang w:val="uk-UA"/>
              </w:rPr>
              <w:t xml:space="preserve">: </w:t>
            </w:r>
            <w:r w:rsidR="003E6145" w:rsidRPr="003E6145">
              <w:rPr>
                <w:sz w:val="24"/>
                <w:szCs w:val="24"/>
                <w:lang w:val="uk-UA"/>
              </w:rPr>
              <w:t>Виконання результативних показників бюджетної програми по капітального ремонту приміщень для розміщення внутрішньо переміщених (евакуйованих) осіб у закладах комунальної власності здійснено не у повному обсязі. Причиною є не виконання своїх зобов’язань підрядними організаціями ( ТОВ "Смеречина", ТДВ "ПМК-76", ТОВ "ДОР-БУД ІНВЕСТ СВ" )</w:t>
            </w:r>
            <w:r w:rsidR="003E6145">
              <w:rPr>
                <w:sz w:val="24"/>
                <w:szCs w:val="24"/>
                <w:lang w:val="uk-UA"/>
              </w:rPr>
              <w:t xml:space="preserve"> </w:t>
            </w:r>
            <w:r w:rsidR="003E6145" w:rsidRPr="003E6145">
              <w:rPr>
                <w:sz w:val="24"/>
                <w:szCs w:val="24"/>
                <w:lang w:val="uk-UA"/>
              </w:rPr>
              <w:t>відповідно до договорів, щодо об’ємів виконання робіт згідно визначених термінів.</w:t>
            </w:r>
          </w:p>
        </w:tc>
      </w:tr>
    </w:tbl>
    <w:p w:rsidR="00296DDC" w:rsidRDefault="00AD5EFF">
      <w:pPr>
        <w:pStyle w:val="Standard"/>
        <w:spacing w:before="120" w:after="120"/>
      </w:pPr>
      <w:r>
        <w:rPr>
          <w:b/>
        </w:rPr>
        <w:t>7.2. Результативні показники у порівнянні із результативними показниками попереднього року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60"/>
        <w:gridCol w:w="1322"/>
        <w:gridCol w:w="1323"/>
        <w:gridCol w:w="1324"/>
        <w:gridCol w:w="1322"/>
        <w:gridCol w:w="1323"/>
        <w:gridCol w:w="1325"/>
        <w:gridCol w:w="1322"/>
        <w:gridCol w:w="1323"/>
        <w:gridCol w:w="1324"/>
      </w:tblGrid>
      <w:tr w:rsidR="00296DDC" w:rsidTr="00F06787">
        <w:trPr>
          <w:cantSplit/>
          <w:trHeight w:val="63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Pr="006D1E82" w:rsidRDefault="00AD5EFF">
            <w:pPr>
              <w:pStyle w:val="1"/>
              <w:ind w:right="-119"/>
              <w:jc w:val="center"/>
              <w:rPr>
                <w:lang w:val="ru-RU"/>
              </w:rPr>
            </w:pPr>
            <w:r>
              <w:rPr>
                <w:b/>
                <w:sz w:val="24"/>
                <w:szCs w:val="24"/>
                <w:lang w:val="uk-UA"/>
              </w:rPr>
              <w:t>Напрями використання бюджетних коштів</w:t>
            </w:r>
            <w:r w:rsidR="006D1E82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/</w:t>
            </w:r>
          </w:p>
          <w:p w:rsidR="00296DDC" w:rsidRPr="006D1E82" w:rsidRDefault="00AD5EFF">
            <w:pPr>
              <w:pStyle w:val="1"/>
              <w:ind w:right="-119"/>
              <w:jc w:val="center"/>
              <w:rPr>
                <w:lang w:val="ru-RU"/>
              </w:rPr>
            </w:pPr>
            <w:bookmarkStart w:id="0" w:name="__DdeLink__19739_21834217"/>
            <w:r>
              <w:rPr>
                <w:b/>
                <w:sz w:val="24"/>
                <w:szCs w:val="24"/>
                <w:lang w:val="uk-UA"/>
              </w:rPr>
              <w:t>результативні показники</w:t>
            </w:r>
            <w:bookmarkEnd w:id="0"/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B7BBC">
              <w:rPr>
                <w:b/>
                <w:sz w:val="24"/>
                <w:szCs w:val="24"/>
                <w:lang w:val="uk-UA"/>
              </w:rPr>
              <w:t>21</w:t>
            </w:r>
            <w:r>
              <w:rPr>
                <w:b/>
                <w:sz w:val="24"/>
                <w:szCs w:val="24"/>
                <w:lang w:val="uk-UA"/>
              </w:rPr>
              <w:t xml:space="preserve"> рік </w:t>
            </w:r>
          </w:p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(факт за рік, що передує звітному)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DB7BBC">
              <w:rPr>
                <w:b/>
                <w:sz w:val="24"/>
                <w:szCs w:val="24"/>
                <w:lang w:val="uk-UA"/>
              </w:rPr>
              <w:t>22</w:t>
            </w:r>
            <w:r>
              <w:rPr>
                <w:b/>
                <w:sz w:val="24"/>
                <w:szCs w:val="24"/>
                <w:lang w:val="uk-UA"/>
              </w:rPr>
              <w:t xml:space="preserve"> рік </w:t>
            </w:r>
          </w:p>
          <w:p w:rsidR="00296DDC" w:rsidRDefault="00AD5E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(факт за звітний рік)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(+/-)</w:t>
            </w:r>
          </w:p>
        </w:tc>
      </w:tr>
      <w:tr w:rsidR="00296DDC" w:rsidTr="00F06787">
        <w:trPr>
          <w:cantSplit/>
          <w:trHeight w:val="20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Спеціаль</w:t>
            </w:r>
            <w:proofErr w:type="spellEnd"/>
            <w:r>
              <w:rPr>
                <w:lang w:val="uk-UA"/>
              </w:rPr>
              <w:t>-ний фонд</w:t>
            </w:r>
          </w:p>
        </w:tc>
      </w:tr>
      <w:tr w:rsidR="00296DDC" w:rsidTr="00F06787">
        <w:trPr>
          <w:cantSplit/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96DDC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Pr="00205218" w:rsidRDefault="00DB7BBC" w:rsidP="00205218">
            <w:pPr>
              <w:pStyle w:val="Standard"/>
              <w:spacing w:before="240"/>
              <w:jc w:val="center"/>
              <w:rPr>
                <w:b/>
                <w:sz w:val="22"/>
              </w:rPr>
            </w:pPr>
            <w:r w:rsidRPr="00205218">
              <w:rPr>
                <w:b/>
                <w:sz w:val="22"/>
              </w:rPr>
              <w:t>затрат</w:t>
            </w:r>
            <w:r w:rsidR="00AD5EFF" w:rsidRPr="00205218">
              <w:rPr>
                <w:b/>
                <w:sz w:val="22"/>
              </w:rPr>
              <w:t xml:space="preserve"> (тис</w:t>
            </w:r>
            <w:r w:rsidR="00130D5A" w:rsidRPr="00205218">
              <w:rPr>
                <w:b/>
                <w:sz w:val="22"/>
              </w:rPr>
              <w:t>яч гривень</w:t>
            </w:r>
            <w:r w:rsidR="00AD5EFF" w:rsidRPr="00205218">
              <w:rPr>
                <w:b/>
                <w:sz w:val="22"/>
              </w:rPr>
              <w:t>)</w:t>
            </w:r>
          </w:p>
          <w:p w:rsidR="00205218" w:rsidRPr="00205218" w:rsidRDefault="00205218" w:rsidP="00205218">
            <w:pPr>
              <w:pStyle w:val="Standard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 w:rsidP="00E67160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3E6145" w:rsidP="00C72038">
            <w:pPr>
              <w:pStyle w:val="Standard"/>
            </w:pPr>
            <w:r w:rsidRPr="003E6145">
              <w:t>Обсяг видатків на капітальний ремонт об’єктів для розміщення внутрішньо переміщених та/або евакуйованих осіб у зв`язку із введенням воєнного стану</w:t>
            </w: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3625D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11 327,98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625D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3625D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11 327,98</w:t>
            </w:r>
          </w:p>
        </w:tc>
      </w:tr>
      <w:tr w:rsidR="00C72038" w:rsidTr="007C26A5">
        <w:trPr>
          <w:cantSplit/>
          <w:trHeight w:val="512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625D8">
            <w:pPr>
              <w:pStyle w:val="1"/>
              <w:spacing w:before="120" w:after="120"/>
              <w:jc w:val="both"/>
              <w:rPr>
                <w:sz w:val="24"/>
                <w:szCs w:val="24"/>
                <w:lang w:val="uk-UA"/>
              </w:rPr>
            </w:pPr>
            <w:r w:rsidRPr="00C72038">
              <w:rPr>
                <w:sz w:val="24"/>
                <w:szCs w:val="24"/>
                <w:lang w:val="uk-UA"/>
              </w:rPr>
              <w:lastRenderedPageBreak/>
              <w:t xml:space="preserve">Пояснення щодо динаміки результативних показників: У зв’язку із </w:t>
            </w:r>
            <w:r w:rsidR="003625D8">
              <w:rPr>
                <w:sz w:val="24"/>
                <w:szCs w:val="24"/>
                <w:lang w:val="uk-UA"/>
              </w:rPr>
              <w:t>відсутністю у 2021 році відповідних напрямків використання коштів, динаміку результативних показників проаналізувати неможливо.</w:t>
            </w:r>
          </w:p>
        </w:tc>
      </w:tr>
      <w:tr w:rsidR="00C72038" w:rsidTr="00DF7A86">
        <w:trPr>
          <w:cantSplit/>
          <w:trHeight w:val="25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  <w:spacing w:before="120" w:after="120"/>
            </w:pPr>
            <w:r>
              <w:rPr>
                <w:b/>
              </w:rPr>
              <w:t>продукту (одиниць)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2038" w:rsidTr="00A4097C">
        <w:trPr>
          <w:cantSplit/>
          <w:trHeight w:val="62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3625D8" w:rsidP="00C72038">
            <w:pPr>
              <w:pStyle w:val="Standard"/>
            </w:pPr>
            <w:r w:rsidRPr="003E6145">
              <w:t>Кількість об’єктів на яких заплановано здійснити капітальний ремонт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3625D8" w:rsidP="003625D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35F05" w:rsidP="003D1466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bookmarkStart w:id="1" w:name="_GoBack"/>
            <w:bookmarkEnd w:id="1"/>
            <w:r w:rsidR="003625D8">
              <w:rPr>
                <w:sz w:val="24"/>
                <w:szCs w:val="24"/>
                <w:lang w:val="uk-UA"/>
              </w:rPr>
              <w:t>4</w:t>
            </w:r>
          </w:p>
        </w:tc>
      </w:tr>
      <w:tr w:rsidR="00C72038" w:rsidTr="00F06787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="003625D8" w:rsidRPr="00C72038">
              <w:rPr>
                <w:sz w:val="24"/>
                <w:szCs w:val="24"/>
                <w:lang w:val="uk-UA"/>
              </w:rPr>
              <w:t xml:space="preserve">У зв’язку із </w:t>
            </w:r>
            <w:r w:rsidR="003625D8">
              <w:rPr>
                <w:sz w:val="24"/>
                <w:szCs w:val="24"/>
                <w:lang w:val="uk-UA"/>
              </w:rPr>
              <w:t>відсутністю у 2021 році відповідних напрямків використання коштів, динаміку результативних показників проаналізувати неможливо.</w:t>
            </w:r>
          </w:p>
        </w:tc>
      </w:tr>
      <w:tr w:rsidR="00C72038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Standard"/>
            </w:pPr>
            <w:r w:rsidRPr="00F06787">
              <w:rPr>
                <w:b/>
              </w:rPr>
              <w:t>ефективності (тис грн)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038" w:rsidRDefault="00C72038" w:rsidP="00C72038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</w:p>
        </w:tc>
      </w:tr>
      <w:tr w:rsidR="00D12709" w:rsidTr="00F06787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3625D8" w:rsidP="00D12709">
            <w:pPr>
              <w:pStyle w:val="Standard"/>
            </w:pPr>
            <w:r w:rsidRPr="003E6145">
              <w:t>Середній обсяг витрат на 1 об’єкт, де заплановано здійснити капітальний ремонт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3625D8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2 832,00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3625D8" w:rsidP="00D12709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-2 832,00</w:t>
            </w:r>
          </w:p>
        </w:tc>
      </w:tr>
      <w:tr w:rsidR="00D12709" w:rsidTr="007C26A5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="003625D8" w:rsidRPr="00C72038">
              <w:rPr>
                <w:sz w:val="24"/>
                <w:szCs w:val="24"/>
                <w:lang w:val="uk-UA"/>
              </w:rPr>
              <w:t xml:space="preserve">У зв’язку із </w:t>
            </w:r>
            <w:r w:rsidR="003625D8">
              <w:rPr>
                <w:sz w:val="24"/>
                <w:szCs w:val="24"/>
                <w:lang w:val="uk-UA"/>
              </w:rPr>
              <w:t>відсутністю у 2021 році відповідних напрямків використання коштів, динаміку результативних показників проаналізувати неможливо.</w:t>
            </w:r>
          </w:p>
        </w:tc>
      </w:tr>
      <w:tr w:rsidR="00D12709" w:rsidTr="00DF7A86">
        <w:trPr>
          <w:cantSplit/>
          <w:trHeight w:val="53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Pr="00DF7A86" w:rsidRDefault="00D12709" w:rsidP="00D12709">
            <w:pPr>
              <w:pStyle w:val="1"/>
              <w:tabs>
                <w:tab w:val="left" w:pos="525"/>
                <w:tab w:val="center" w:pos="1510"/>
              </w:tabs>
              <w:spacing w:before="120" w:after="120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</w:r>
            <w:r w:rsidRPr="00DF7A86">
              <w:rPr>
                <w:b/>
                <w:sz w:val="24"/>
                <w:szCs w:val="24"/>
                <w:lang w:val="uk-UA"/>
              </w:rPr>
              <w:t>якості (відсотки)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jc w:val="center"/>
              <w:rPr>
                <w:lang w:val="uk-UA"/>
              </w:rPr>
            </w:pPr>
          </w:p>
        </w:tc>
      </w:tr>
      <w:tr w:rsidR="00D12709" w:rsidTr="00205218">
        <w:trPr>
          <w:cantSplit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3625D8" w:rsidP="00D12709">
            <w:pPr>
              <w:pStyle w:val="Standard"/>
            </w:pPr>
            <w:r w:rsidRPr="003E6145">
              <w:t>Ступінь готовності проведеного капітального ремонту на кінець звітного періоду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3625D8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BE1F40" w:rsidP="003B7CE8">
            <w:pPr>
              <w:pStyle w:val="1"/>
              <w:spacing w:before="120"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-100</w:t>
            </w:r>
          </w:p>
        </w:tc>
      </w:tr>
      <w:tr w:rsidR="00D12709" w:rsidTr="00205218">
        <w:trPr>
          <w:cantSplit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709" w:rsidRDefault="00D12709" w:rsidP="00D12709">
            <w:pPr>
              <w:pStyle w:val="1"/>
              <w:spacing w:before="120" w:after="120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Пояснення щодо динаміки результативних показників: </w:t>
            </w:r>
            <w:r w:rsidR="003625D8" w:rsidRPr="00C72038">
              <w:rPr>
                <w:sz w:val="24"/>
                <w:szCs w:val="24"/>
                <w:lang w:val="uk-UA"/>
              </w:rPr>
              <w:t xml:space="preserve">У зв’язку із </w:t>
            </w:r>
            <w:r w:rsidR="003625D8">
              <w:rPr>
                <w:sz w:val="24"/>
                <w:szCs w:val="24"/>
                <w:lang w:val="uk-UA"/>
              </w:rPr>
              <w:t>відсутністю у 2021 році відповідних напрямків використання коштів, динаміку результативних показників проаналізувати неможливо.</w:t>
            </w:r>
          </w:p>
        </w:tc>
      </w:tr>
    </w:tbl>
    <w:p w:rsidR="00296DDC" w:rsidRDefault="00AD5EFF">
      <w:pPr>
        <w:pStyle w:val="Standard"/>
        <w:spacing w:before="240"/>
      </w:pPr>
      <w:r>
        <w:t>Пояснення щодо змін у структурі напрямів використання бюджетних коштів:</w:t>
      </w:r>
      <w:r w:rsidR="00F06787" w:rsidRPr="00F06787">
        <w:t xml:space="preserve"> </w:t>
      </w:r>
      <w:r w:rsidR="00C35F05">
        <w:t>У 2021 році не було затверджено паспорт по даній бюджетній програмі.</w:t>
      </w:r>
    </w:p>
    <w:p w:rsidR="009B4101" w:rsidRDefault="009B4101">
      <w:pPr>
        <w:pStyle w:val="Standard"/>
        <w:spacing w:before="120" w:after="120"/>
        <w:rPr>
          <w:b/>
        </w:rPr>
      </w:pPr>
    </w:p>
    <w:p w:rsidR="00296DDC" w:rsidRDefault="00AD5EFF">
      <w:pPr>
        <w:pStyle w:val="Standard"/>
        <w:spacing w:before="120" w:after="120"/>
      </w:pPr>
      <w:r>
        <w:rPr>
          <w:b/>
        </w:rPr>
        <w:lastRenderedPageBreak/>
        <w:t>8. Інформація про результати контрольних заходів, проведених органами, уповноваженими на здійснення контролю за дотриманням бюджетного законодавства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4866"/>
        <w:gridCol w:w="4867"/>
        <w:gridCol w:w="4867"/>
      </w:tblGrid>
      <w:tr w:rsidR="00296D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spacing w:before="120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№ з/п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Найменування контрольного заходу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Пропозиції за результатами контрольного заходу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0"/>
                <w:lang w:eastAsia="uk-UA"/>
              </w:rPr>
              <w:t>Стан врахування пропозицій за результатами контрольного заходу</w:t>
            </w:r>
          </w:p>
        </w:tc>
      </w:tr>
      <w:tr w:rsidR="00296DD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96DDC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</w:tr>
    </w:tbl>
    <w:p w:rsidR="00296DDC" w:rsidRDefault="00AD5EFF">
      <w:pPr>
        <w:pStyle w:val="Standard"/>
        <w:spacing w:before="120" w:after="120"/>
        <w:rPr>
          <w:b/>
        </w:rPr>
      </w:pPr>
      <w:r>
        <w:rPr>
          <w:b/>
        </w:rPr>
        <w:t>9. Узагальнений висновок про ефективність бюджетної програми:</w:t>
      </w:r>
    </w:p>
    <w:p w:rsidR="00C35F05" w:rsidRDefault="00C35F05" w:rsidP="00C35F05">
      <w:pPr>
        <w:pStyle w:val="Standard"/>
        <w:spacing w:before="120" w:after="120"/>
      </w:pPr>
      <w:r>
        <w:t xml:space="preserve">1. В результаті виконання даної програми завершено роботи в повному обсязі лише по одному об’єкту "Капітальний ремонт будівлі комунальної власності </w:t>
      </w:r>
      <w:proofErr w:type="spellStart"/>
      <w:r>
        <w:t>Кадубовецької</w:t>
      </w:r>
      <w:proofErr w:type="spellEnd"/>
      <w:r>
        <w:t xml:space="preserve"> територіальної громади с. </w:t>
      </w:r>
      <w:proofErr w:type="spellStart"/>
      <w:r>
        <w:t>Чуньків</w:t>
      </w:r>
      <w:proofErr w:type="spellEnd"/>
      <w:r>
        <w:t xml:space="preserve">, вул. Є. </w:t>
      </w:r>
      <w:proofErr w:type="spellStart"/>
      <w:r>
        <w:t>Ярошинської</w:t>
      </w:r>
      <w:proofErr w:type="spellEnd"/>
      <w:r>
        <w:t>, 3, визначеної для розміщення внутрішньо переміщених (евакуйованих) осіб".</w:t>
      </w:r>
    </w:p>
    <w:p w:rsidR="00C35F05" w:rsidRDefault="00C35F05" w:rsidP="00C35F05">
      <w:pPr>
        <w:pStyle w:val="Standard"/>
        <w:spacing w:before="120" w:after="120"/>
      </w:pPr>
      <w:r>
        <w:t xml:space="preserve">  2. По об’єкту "Капітальний ремонт приміщень </w:t>
      </w:r>
      <w:proofErr w:type="spellStart"/>
      <w:r>
        <w:t>Біловецького</w:t>
      </w:r>
      <w:proofErr w:type="spellEnd"/>
      <w:r>
        <w:t xml:space="preserve"> навчально-виховного комплексу для розміщення внутрішньо переміщених (евакуйованих) осіб за </w:t>
      </w:r>
      <w:proofErr w:type="spellStart"/>
      <w:r>
        <w:t>адресою</w:t>
      </w:r>
      <w:proofErr w:type="spellEnd"/>
      <w:r>
        <w:t xml:space="preserve"> Чернівецька область, Дністровський район, с. </w:t>
      </w:r>
      <w:proofErr w:type="spellStart"/>
      <w:r>
        <w:t>Білівці</w:t>
      </w:r>
      <w:proofErr w:type="spellEnd"/>
      <w:r>
        <w:t xml:space="preserve">, вул. Шкільна, 1" підрядна організація (ТОВ "Смеречина") не надала частину </w:t>
      </w:r>
      <w:proofErr w:type="spellStart"/>
      <w:r>
        <w:t>підтвержуючих</w:t>
      </w:r>
      <w:proofErr w:type="spellEnd"/>
      <w:r>
        <w:t xml:space="preserve"> накладних на придбання матеріалів до пакету документів, необхідність подачі яких виникла через зміни в експертному звіті та договірній ціні. </w:t>
      </w:r>
    </w:p>
    <w:p w:rsidR="00C35F05" w:rsidRDefault="00C35F05" w:rsidP="00C35F05">
      <w:pPr>
        <w:pStyle w:val="Standard"/>
        <w:spacing w:before="120" w:after="120"/>
      </w:pPr>
      <w:r>
        <w:t xml:space="preserve">   3. По об’єктах: "Капітальний ремонт приміщень закладу дошкільної освіти "Сонечко" з переобладнанням для розміщення внутрішньо переміщених (евакуйованих) осіб за </w:t>
      </w:r>
      <w:proofErr w:type="spellStart"/>
      <w:r>
        <w:t>адресою</w:t>
      </w:r>
      <w:proofErr w:type="spellEnd"/>
      <w:r>
        <w:t xml:space="preserve"> Чернівецька область, Чернівецький район, с. </w:t>
      </w:r>
      <w:proofErr w:type="spellStart"/>
      <w:r>
        <w:t>Колінківці</w:t>
      </w:r>
      <w:proofErr w:type="spellEnd"/>
      <w:r>
        <w:t xml:space="preserve">, вул. </w:t>
      </w:r>
      <w:proofErr w:type="spellStart"/>
      <w:r>
        <w:t>І.Франка</w:t>
      </w:r>
      <w:proofErr w:type="spellEnd"/>
      <w:r>
        <w:t xml:space="preserve">, 1", "Капітальний ремонт приміщень </w:t>
      </w:r>
      <w:proofErr w:type="spellStart"/>
      <w:r>
        <w:t>адмінбудівлі</w:t>
      </w:r>
      <w:proofErr w:type="spellEnd"/>
      <w:r>
        <w:t xml:space="preserve"> для розміщення внутрішньо переміщених (евакуйованих) осіб за </w:t>
      </w:r>
      <w:proofErr w:type="spellStart"/>
      <w:r>
        <w:t>адресою</w:t>
      </w:r>
      <w:proofErr w:type="spellEnd"/>
      <w:r>
        <w:t xml:space="preserve"> Чернівецька область, Дністровський район, с. </w:t>
      </w:r>
      <w:proofErr w:type="spellStart"/>
      <w:r>
        <w:t>Круглик</w:t>
      </w:r>
      <w:proofErr w:type="spellEnd"/>
      <w:r>
        <w:t xml:space="preserve">, вул. П. Величка, 4" підрядні організації ТДВ "ПМК-76" та ТОВ "ДОР-БУД ІНВЕСТ СВ"  відповідно не виконали свої зобов’язання по договорах, щодо об’ємів виконання робіт згідно визначених термінів. Ведуться </w:t>
      </w:r>
      <w:proofErr w:type="spellStart"/>
      <w:r>
        <w:t>притензійні</w:t>
      </w:r>
      <w:proofErr w:type="spellEnd"/>
      <w:r>
        <w:t xml:space="preserve"> роботи.</w:t>
      </w:r>
    </w:p>
    <w:p w:rsidR="00296DDC" w:rsidRDefault="003B7CE8" w:rsidP="00C35F05">
      <w:pPr>
        <w:pStyle w:val="Standard"/>
        <w:spacing w:before="120" w:after="120"/>
      </w:pPr>
      <w:r>
        <w:t xml:space="preserve"> </w:t>
      </w:r>
      <w:r w:rsidR="00AD5EFF">
        <w:rPr>
          <w:b/>
        </w:rPr>
        <w:t>10. Заходи із підвищення ефективності бюджетної програми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4293"/>
        <w:gridCol w:w="10205"/>
      </w:tblGrid>
      <w:tr w:rsidR="00296DD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spacing w:before="120"/>
              <w:jc w:val="center"/>
            </w:pPr>
            <w:r>
              <w:rPr>
                <w:b/>
                <w:szCs w:val="20"/>
                <w:lang w:eastAsia="uk-UA"/>
              </w:rPr>
              <w:t>№ з/п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Напрям підвищення ефективності бюджетної програми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</w:pPr>
            <w:r>
              <w:rPr>
                <w:b/>
                <w:szCs w:val="20"/>
                <w:lang w:eastAsia="uk-UA"/>
              </w:rPr>
              <w:t>Захід</w:t>
            </w:r>
          </w:p>
        </w:tc>
      </w:tr>
      <w:tr w:rsidR="00296DDC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AD5EFF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96DDC"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b/>
                <w:szCs w:val="20"/>
                <w:lang w:eastAsia="uk-UA"/>
              </w:rPr>
            </w:pPr>
          </w:p>
        </w:tc>
        <w:tc>
          <w:tcPr>
            <w:tcW w:w="4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szCs w:val="20"/>
                <w:lang w:eastAsia="uk-UA"/>
              </w:rPr>
            </w:pPr>
          </w:p>
        </w:tc>
        <w:tc>
          <w:tcPr>
            <w:tcW w:w="10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DDC" w:rsidRDefault="00296DDC">
            <w:pPr>
              <w:pStyle w:val="Standard"/>
              <w:spacing w:before="120"/>
              <w:rPr>
                <w:szCs w:val="20"/>
                <w:lang w:eastAsia="uk-UA"/>
              </w:rPr>
            </w:pPr>
          </w:p>
        </w:tc>
      </w:tr>
    </w:tbl>
    <w:tbl>
      <w:tblPr>
        <w:tblStyle w:val="af1"/>
        <w:tblW w:w="15126" w:type="dxa"/>
        <w:tblLook w:val="04A0" w:firstRow="1" w:lastRow="0" w:firstColumn="1" w:lastColumn="0" w:noHBand="0" w:noVBand="1"/>
      </w:tblPr>
      <w:tblGrid>
        <w:gridCol w:w="5245"/>
        <w:gridCol w:w="4839"/>
        <w:gridCol w:w="5042"/>
      </w:tblGrid>
      <w:tr w:rsidR="00296D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DDC" w:rsidRDefault="009B4101" w:rsidP="009B4101">
            <w:pPr>
              <w:pStyle w:val="Standard"/>
              <w:rPr>
                <w:b/>
              </w:rPr>
            </w:pPr>
            <w:r>
              <w:rPr>
                <w:b/>
              </w:rPr>
              <w:t>Директор Департаменту капітального будівництва містобудування та архітектури Чернівецької обласної державної адміністрації (обласної військової адміністрації)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_________________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6DDC" w:rsidRPr="009B4101" w:rsidRDefault="009B4101">
            <w:pPr>
              <w:pStyle w:val="Standard"/>
              <w:jc w:val="center"/>
              <w:rPr>
                <w:b/>
                <w:u w:val="single"/>
              </w:rPr>
            </w:pPr>
            <w:r w:rsidRPr="009B4101">
              <w:rPr>
                <w:b/>
                <w:u w:val="single"/>
              </w:rPr>
              <w:t xml:space="preserve">Микола </w:t>
            </w:r>
            <w:proofErr w:type="spellStart"/>
            <w:r w:rsidRPr="009B4101">
              <w:rPr>
                <w:b/>
                <w:u w:val="single"/>
              </w:rPr>
              <w:t>Гладюк</w:t>
            </w:r>
            <w:proofErr w:type="spellEnd"/>
          </w:p>
        </w:tc>
      </w:tr>
      <w:tr w:rsidR="00296DD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296DDC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6DDC" w:rsidRDefault="00AD5EFF">
            <w:pPr>
              <w:pStyle w:val="Standard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(ім'я та прізвище)</w:t>
            </w:r>
          </w:p>
        </w:tc>
      </w:tr>
    </w:tbl>
    <w:p w:rsidR="00296DDC" w:rsidRDefault="00296DDC">
      <w:pPr>
        <w:pStyle w:val="Standard"/>
        <w:spacing w:before="120" w:after="120"/>
      </w:pPr>
    </w:p>
    <w:sectPr w:rsidR="00296DDC">
      <w:headerReference w:type="default" r:id="rId16"/>
      <w:pgSz w:w="16838" w:h="11906" w:orient="landscape"/>
      <w:pgMar w:top="851" w:right="851" w:bottom="851" w:left="851" w:header="397" w:footer="28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61" w:rsidRDefault="00E43E61">
      <w:r>
        <w:separator/>
      </w:r>
    </w:p>
  </w:endnote>
  <w:endnote w:type="continuationSeparator" w:id="0">
    <w:p w:rsidR="00E43E61" w:rsidRDefault="00E4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61" w:rsidRDefault="00E43E61">
      <w:r>
        <w:separator/>
      </w:r>
    </w:p>
  </w:footnote>
  <w:footnote w:type="continuationSeparator" w:id="0">
    <w:p w:rsidR="00E43E61" w:rsidRDefault="00E4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805426"/>
      <w:docPartObj>
        <w:docPartGallery w:val="Page Numbers (Top of Page)"/>
        <w:docPartUnique/>
      </w:docPartObj>
    </w:sdtPr>
    <w:sdtContent>
      <w:p w:rsidR="007C26A5" w:rsidRDefault="007C26A5">
        <w:pPr>
          <w:pStyle w:val="ac"/>
          <w:jc w:val="center"/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</w:instrText>
        </w:r>
        <w:r>
          <w:rPr>
            <w:sz w:val="22"/>
            <w:szCs w:val="22"/>
          </w:rPr>
          <w:fldChar w:fldCharType="separate"/>
        </w:r>
        <w:r w:rsidR="00772623">
          <w:rPr>
            <w:noProof/>
            <w:sz w:val="22"/>
            <w:szCs w:val="22"/>
          </w:rPr>
          <w:t>7</w:t>
        </w:r>
        <w:r>
          <w:rPr>
            <w:sz w:val="22"/>
            <w:szCs w:val="22"/>
          </w:rPr>
          <w:fldChar w:fldCharType="end"/>
        </w:r>
      </w:p>
      <w:p w:rsidR="007C26A5" w:rsidRDefault="007C26A5">
        <w:pPr>
          <w:pStyle w:val="ac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Продовження додатка</w:t>
        </w:r>
      </w:p>
    </w:sdtContent>
  </w:sdt>
  <w:p w:rsidR="007C26A5" w:rsidRDefault="007C26A5">
    <w:pPr>
      <w:pStyle w:val="ac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384"/>
    <w:multiLevelType w:val="hybridMultilevel"/>
    <w:tmpl w:val="3D009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097"/>
    <w:multiLevelType w:val="multilevel"/>
    <w:tmpl w:val="2C98265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1A427C"/>
    <w:multiLevelType w:val="multilevel"/>
    <w:tmpl w:val="90127F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D796805"/>
    <w:multiLevelType w:val="hybridMultilevel"/>
    <w:tmpl w:val="31585448"/>
    <w:lvl w:ilvl="0" w:tplc="166C79AC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DC"/>
    <w:rsid w:val="000A4FE7"/>
    <w:rsid w:val="000C747A"/>
    <w:rsid w:val="000F4783"/>
    <w:rsid w:val="000F6780"/>
    <w:rsid w:val="00120474"/>
    <w:rsid w:val="00130D5A"/>
    <w:rsid w:val="00131601"/>
    <w:rsid w:val="001C4BE5"/>
    <w:rsid w:val="001E7903"/>
    <w:rsid w:val="00205218"/>
    <w:rsid w:val="002202BD"/>
    <w:rsid w:val="00235FCE"/>
    <w:rsid w:val="00266BBB"/>
    <w:rsid w:val="00296DDC"/>
    <w:rsid w:val="002D271B"/>
    <w:rsid w:val="003202CB"/>
    <w:rsid w:val="003215B7"/>
    <w:rsid w:val="00332D25"/>
    <w:rsid w:val="0035746E"/>
    <w:rsid w:val="003625D8"/>
    <w:rsid w:val="00366E90"/>
    <w:rsid w:val="00370A27"/>
    <w:rsid w:val="003A63A9"/>
    <w:rsid w:val="003B7CE8"/>
    <w:rsid w:val="003C1E99"/>
    <w:rsid w:val="003C7CBD"/>
    <w:rsid w:val="003D1466"/>
    <w:rsid w:val="003E6145"/>
    <w:rsid w:val="0041027E"/>
    <w:rsid w:val="00463441"/>
    <w:rsid w:val="0047361B"/>
    <w:rsid w:val="004B499E"/>
    <w:rsid w:val="00565095"/>
    <w:rsid w:val="005839C7"/>
    <w:rsid w:val="00584B5C"/>
    <w:rsid w:val="00697451"/>
    <w:rsid w:val="006D1E82"/>
    <w:rsid w:val="00735015"/>
    <w:rsid w:val="00741E27"/>
    <w:rsid w:val="007702E9"/>
    <w:rsid w:val="00772623"/>
    <w:rsid w:val="00791AD1"/>
    <w:rsid w:val="007C26A5"/>
    <w:rsid w:val="007D1760"/>
    <w:rsid w:val="008173A7"/>
    <w:rsid w:val="0085006A"/>
    <w:rsid w:val="008965C2"/>
    <w:rsid w:val="009B4101"/>
    <w:rsid w:val="009E0A05"/>
    <w:rsid w:val="00A13DD7"/>
    <w:rsid w:val="00A4097C"/>
    <w:rsid w:val="00A76BF2"/>
    <w:rsid w:val="00A878EB"/>
    <w:rsid w:val="00AD5EFF"/>
    <w:rsid w:val="00BE1989"/>
    <w:rsid w:val="00BE1F40"/>
    <w:rsid w:val="00BE6396"/>
    <w:rsid w:val="00BF44B2"/>
    <w:rsid w:val="00C25935"/>
    <w:rsid w:val="00C35F05"/>
    <w:rsid w:val="00C72038"/>
    <w:rsid w:val="00C87C11"/>
    <w:rsid w:val="00C95AE1"/>
    <w:rsid w:val="00CC7F80"/>
    <w:rsid w:val="00D12709"/>
    <w:rsid w:val="00D5426C"/>
    <w:rsid w:val="00D60ACA"/>
    <w:rsid w:val="00D6794C"/>
    <w:rsid w:val="00DB1D63"/>
    <w:rsid w:val="00DB7BBC"/>
    <w:rsid w:val="00DC3F60"/>
    <w:rsid w:val="00DD49E4"/>
    <w:rsid w:val="00DF7A86"/>
    <w:rsid w:val="00E16959"/>
    <w:rsid w:val="00E43E61"/>
    <w:rsid w:val="00E47A38"/>
    <w:rsid w:val="00E51100"/>
    <w:rsid w:val="00E61CC6"/>
    <w:rsid w:val="00E67160"/>
    <w:rsid w:val="00E83E08"/>
    <w:rsid w:val="00EA1A35"/>
    <w:rsid w:val="00EA769E"/>
    <w:rsid w:val="00EF23C0"/>
    <w:rsid w:val="00F06787"/>
    <w:rsid w:val="00F21310"/>
    <w:rsid w:val="00F27821"/>
    <w:rsid w:val="00F64D9F"/>
    <w:rsid w:val="00F8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25546"/>
  <w15:docId w15:val="{F59E22CD-A967-4D76-9BC3-F8D16915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</w:style>
  <w:style w:type="paragraph" w:styleId="3">
    <w:name w:val="heading 3"/>
    <w:basedOn w:val="a"/>
    <w:link w:val="30"/>
    <w:qFormat/>
    <w:rsid w:val="00DB4437"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qFormat/>
  </w:style>
  <w:style w:type="character" w:customStyle="1" w:styleId="a5">
    <w:name w:val="Текст у виносці Знак"/>
    <w:basedOn w:val="a0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2">
    <w:name w:val="ListLabel 2"/>
    <w:qFormat/>
    <w:rPr>
      <w:b/>
      <w:szCs w:val="20"/>
      <w:lang w:eastAsia="uk-UA"/>
    </w:rPr>
  </w:style>
  <w:style w:type="character" w:customStyle="1" w:styleId="30">
    <w:name w:val="Заголовок 3 Знак"/>
    <w:basedOn w:val="a0"/>
    <w:link w:val="3"/>
    <w:qFormat/>
    <w:rsid w:val="00DB443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ListLabel3">
    <w:name w:val="ListLabel 3"/>
    <w:qFormat/>
    <w:rPr>
      <w:b/>
      <w:szCs w:val="20"/>
      <w:lang w:eastAsia="uk-U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  <w:rPr>
      <w:rFonts w:cs="Arial"/>
    </w:rPr>
  </w:style>
  <w:style w:type="paragraph" w:styleId="a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Указатель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rvps2">
    <w:name w:val="rvps2"/>
    <w:basedOn w:val="Standard"/>
    <w:qFormat/>
    <w:pPr>
      <w:spacing w:before="280" w:after="280"/>
    </w:pPr>
    <w:rPr>
      <w:lang w:eastAsia="uk-UA"/>
    </w:rPr>
  </w:style>
  <w:style w:type="paragraph" w:customStyle="1" w:styleId="1">
    <w:name w:val="Звичайний1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header"/>
    <w:basedOn w:val="Standard"/>
    <w:uiPriority w:val="99"/>
    <w:pPr>
      <w:tabs>
        <w:tab w:val="center" w:pos="4819"/>
        <w:tab w:val="right" w:pos="9639"/>
      </w:tabs>
    </w:pPr>
  </w:style>
  <w:style w:type="paragraph" w:styleId="ad">
    <w:name w:val="footer"/>
    <w:basedOn w:val="Standard"/>
    <w:pPr>
      <w:tabs>
        <w:tab w:val="center" w:pos="4819"/>
        <w:tab w:val="right" w:pos="9639"/>
      </w:tabs>
    </w:pPr>
  </w:style>
  <w:style w:type="paragraph" w:styleId="ae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af">
    <w:name w:val="Содержимое таблицы"/>
    <w:basedOn w:val="Standard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10">
    <w:name w:val="Немає списку1"/>
    <w:qFormat/>
  </w:style>
  <w:style w:type="table" w:styleId="af1">
    <w:name w:val="Table Grid"/>
    <w:basedOn w:val="a1"/>
    <w:uiPriority w:val="39"/>
    <w:rsid w:val="00EA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0165.html" TargetMode="External"/><Relationship Id="rId13" Type="http://schemas.openxmlformats.org/officeDocument/2006/relationships/hyperlink" Target="http://search.ligazakon.ua/l_doc2.nsf/link1/RE30165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RE30165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RE3016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RE30165.html" TargetMode="External"/><Relationship Id="rId10" Type="http://schemas.openxmlformats.org/officeDocument/2006/relationships/hyperlink" Target="http://search.ligazakon.ua/l_doc2.nsf/link1/RE3016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30165.html" TargetMode="External"/><Relationship Id="rId14" Type="http://schemas.openxmlformats.org/officeDocument/2006/relationships/hyperlink" Target="http://search.ligazakon.ua/l_doc2.nsf/link1/RE30165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2A5D-1093-4461-981F-0709C2D4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7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dc:description/>
  <cp:lastModifiedBy>1</cp:lastModifiedBy>
  <cp:revision>11</cp:revision>
  <cp:lastPrinted>2023-02-13T12:40:00Z</cp:lastPrinted>
  <dcterms:created xsi:type="dcterms:W3CDTF">2023-02-01T09:22:00Z</dcterms:created>
  <dcterms:modified xsi:type="dcterms:W3CDTF">2023-02-13T12:41:00Z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MINFIN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