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8F" w:rsidRDefault="00864E8F" w:rsidP="0024384F">
      <w:pPr>
        <w:pStyle w:val="a3"/>
        <w:shd w:val="clear" w:color="auto" w:fill="FFFFFF"/>
        <w:spacing w:before="0" w:beforeAutospacing="0" w:after="0" w:afterAutospacing="0"/>
        <w:ind w:left="-709" w:right="-426"/>
        <w:jc w:val="center"/>
        <w:textAlignment w:val="baseline"/>
        <w:rPr>
          <w:rStyle w:val="a4"/>
          <w:color w:val="1D1D1B"/>
          <w:sz w:val="28"/>
          <w:szCs w:val="28"/>
          <w:bdr w:val="none" w:sz="0" w:space="0" w:color="auto" w:frame="1"/>
        </w:rPr>
      </w:pPr>
      <w:r>
        <w:rPr>
          <w:rStyle w:val="a4"/>
          <w:color w:val="1D1D1B"/>
          <w:sz w:val="28"/>
          <w:szCs w:val="28"/>
          <w:bdr w:val="none" w:sz="0" w:space="0" w:color="auto" w:frame="1"/>
        </w:rPr>
        <w:t>Інформація щодо</w:t>
      </w:r>
      <w:r w:rsidRPr="00864E8F">
        <w:rPr>
          <w:rStyle w:val="a4"/>
          <w:color w:val="1D1D1B"/>
          <w:sz w:val="28"/>
          <w:szCs w:val="28"/>
          <w:bdr w:val="none" w:sz="0" w:space="0" w:color="auto" w:frame="1"/>
        </w:rPr>
        <w:t xml:space="preserve"> обліку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 xml:space="preserve"> та обстеження</w:t>
      </w:r>
      <w:r w:rsidRPr="00864E8F">
        <w:rPr>
          <w:rStyle w:val="a4"/>
          <w:color w:val="1D1D1B"/>
          <w:sz w:val="28"/>
          <w:szCs w:val="28"/>
          <w:bdr w:val="none" w:sz="0" w:space="0" w:color="auto" w:frame="1"/>
        </w:rPr>
        <w:t xml:space="preserve"> об’єктів нерухомого майна </w:t>
      </w:r>
    </w:p>
    <w:p w:rsidR="003E73B9" w:rsidRDefault="00864E8F" w:rsidP="0024384F">
      <w:pPr>
        <w:pStyle w:val="a3"/>
        <w:shd w:val="clear" w:color="auto" w:fill="FFFFFF"/>
        <w:spacing w:before="0" w:beforeAutospacing="0" w:after="0" w:afterAutospacing="0"/>
        <w:ind w:left="-709" w:right="-426"/>
        <w:jc w:val="center"/>
        <w:textAlignment w:val="baseline"/>
        <w:rPr>
          <w:color w:val="1D1D1B"/>
          <w:sz w:val="28"/>
          <w:szCs w:val="28"/>
        </w:rPr>
      </w:pPr>
      <w:r w:rsidRPr="00864E8F">
        <w:rPr>
          <w:rStyle w:val="a4"/>
          <w:color w:val="1D1D1B"/>
          <w:sz w:val="28"/>
          <w:szCs w:val="28"/>
          <w:bdr w:val="none" w:sz="0" w:space="0" w:color="auto" w:frame="1"/>
        </w:rPr>
        <w:t xml:space="preserve">для проживання </w:t>
      </w:r>
      <w:r>
        <w:rPr>
          <w:rStyle w:val="a4"/>
          <w:color w:val="1D1D1B"/>
          <w:sz w:val="28"/>
          <w:szCs w:val="28"/>
          <w:bdr w:val="none" w:sz="0" w:space="0" w:color="auto" w:frame="1"/>
        </w:rPr>
        <w:t>ВПО</w:t>
      </w:r>
    </w:p>
    <w:p w:rsidR="003E73B9" w:rsidRDefault="003E73B9" w:rsidP="0024384F">
      <w:pPr>
        <w:pStyle w:val="a3"/>
        <w:shd w:val="clear" w:color="auto" w:fill="FFFFFF"/>
        <w:spacing w:before="0" w:beforeAutospacing="0" w:after="0" w:afterAutospacing="0"/>
        <w:ind w:left="-709" w:right="-426"/>
        <w:jc w:val="center"/>
        <w:textAlignment w:val="baseline"/>
        <w:rPr>
          <w:color w:val="1D1D1B"/>
          <w:sz w:val="28"/>
          <w:szCs w:val="28"/>
        </w:rPr>
      </w:pPr>
    </w:p>
    <w:p w:rsidR="00D44835" w:rsidRDefault="00864E8F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864E8F">
        <w:rPr>
          <w:rFonts w:ascii="Times New Roman" w:hAnsi="Times New Roman" w:cs="Times New Roman"/>
          <w:sz w:val="28"/>
        </w:rPr>
        <w:t>ідповідно до частинами шостої та восьмої статті 4</w:t>
      </w:r>
      <w:r w:rsidRPr="00864E8F">
        <w:rPr>
          <w:rFonts w:ascii="Times New Roman" w:hAnsi="Times New Roman" w:cs="Times New Roman"/>
          <w:sz w:val="28"/>
          <w:vertAlign w:val="superscript"/>
        </w:rPr>
        <w:t>2</w:t>
      </w:r>
      <w:r w:rsidRPr="00864E8F">
        <w:rPr>
          <w:rFonts w:ascii="Times New Roman" w:hAnsi="Times New Roman" w:cs="Times New Roman"/>
          <w:sz w:val="28"/>
        </w:rPr>
        <w:t xml:space="preserve"> Закону України «Про забезпечення прав і свобод внутрішн</w:t>
      </w:r>
      <w:r>
        <w:rPr>
          <w:rFonts w:ascii="Times New Roman" w:hAnsi="Times New Roman" w:cs="Times New Roman"/>
          <w:sz w:val="28"/>
        </w:rPr>
        <w:t>ьо переміщених осіб», постанови</w:t>
      </w:r>
      <w:r w:rsidRPr="00864E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КМУ </w:t>
      </w:r>
      <w:r w:rsidRPr="00864E8F">
        <w:rPr>
          <w:rFonts w:ascii="Times New Roman" w:hAnsi="Times New Roman" w:cs="Times New Roman"/>
          <w:sz w:val="28"/>
        </w:rPr>
        <w:t>від 29 квітня 2025 року № 489 «Про затвердження Порядку обстеження об’єктів нерухомого майна для проживання внутрішньо переміщених осіб та типової форми акта обстежен</w:t>
      </w:r>
      <w:r>
        <w:rPr>
          <w:rFonts w:ascii="Times New Roman" w:hAnsi="Times New Roman" w:cs="Times New Roman"/>
          <w:sz w:val="28"/>
        </w:rPr>
        <w:t>ня нерухомого майна», постанови</w:t>
      </w:r>
      <w:r w:rsidRPr="00864E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КМУ </w:t>
      </w:r>
      <w:r w:rsidRPr="00864E8F">
        <w:rPr>
          <w:rFonts w:ascii="Times New Roman" w:hAnsi="Times New Roman" w:cs="Times New Roman"/>
          <w:sz w:val="28"/>
        </w:rPr>
        <w:t>від 29 квітня 2025 року № 493 «Деякі питання організації роботи з обстеження об’єктів нерухомого майна для проживан</w:t>
      </w:r>
      <w:r>
        <w:rPr>
          <w:rFonts w:ascii="Times New Roman" w:hAnsi="Times New Roman" w:cs="Times New Roman"/>
          <w:sz w:val="28"/>
        </w:rPr>
        <w:t>ня внутріш</w:t>
      </w:r>
      <w:r w:rsidR="00D44835">
        <w:rPr>
          <w:rFonts w:ascii="Times New Roman" w:hAnsi="Times New Roman" w:cs="Times New Roman"/>
          <w:sz w:val="28"/>
        </w:rPr>
        <w:t>ньо переміщених осіб», обласній військовій адміністрації</w:t>
      </w:r>
      <w:r>
        <w:rPr>
          <w:rFonts w:ascii="Times New Roman" w:hAnsi="Times New Roman" w:cs="Times New Roman"/>
          <w:sz w:val="28"/>
        </w:rPr>
        <w:t xml:space="preserve"> та районним військовим адміністраціям доручено здійснити на території області</w:t>
      </w:r>
      <w:r w:rsidR="00D448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облік</w:t>
      </w:r>
      <w:r w:rsidRPr="00864E8F">
        <w:rPr>
          <w:rFonts w:ascii="Times New Roman" w:hAnsi="Times New Roman" w:cs="Times New Roman"/>
          <w:sz w:val="28"/>
        </w:rPr>
        <w:t xml:space="preserve"> та обстеження об’єктів нерухомого майна для проживання ВПО</w:t>
      </w:r>
      <w:r w:rsidR="00D44835">
        <w:rPr>
          <w:rFonts w:ascii="Times New Roman" w:hAnsi="Times New Roman" w:cs="Times New Roman"/>
          <w:sz w:val="28"/>
        </w:rPr>
        <w:t>.</w:t>
      </w:r>
      <w:r w:rsidRPr="00864E8F">
        <w:rPr>
          <w:rFonts w:ascii="Times New Roman" w:hAnsi="Times New Roman" w:cs="Times New Roman"/>
          <w:sz w:val="28"/>
        </w:rPr>
        <w:t xml:space="preserve"> </w:t>
      </w:r>
    </w:p>
    <w:p w:rsidR="004142B2" w:rsidRDefault="007703C8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цією метою доручено ОВА сформувати</w:t>
      </w:r>
      <w:r w:rsidR="00D44835">
        <w:rPr>
          <w:rFonts w:ascii="Times New Roman" w:hAnsi="Times New Roman" w:cs="Times New Roman"/>
          <w:sz w:val="28"/>
        </w:rPr>
        <w:t xml:space="preserve"> перелік</w:t>
      </w:r>
      <w:r w:rsidR="00864E8F" w:rsidRPr="00864E8F">
        <w:rPr>
          <w:rFonts w:ascii="Times New Roman" w:hAnsi="Times New Roman" w:cs="Times New Roman"/>
          <w:sz w:val="28"/>
        </w:rPr>
        <w:t xml:space="preserve"> об’єктів нерухомого майна, які використовують</w:t>
      </w:r>
      <w:r w:rsidR="00864E8F">
        <w:rPr>
          <w:rFonts w:ascii="Times New Roman" w:hAnsi="Times New Roman" w:cs="Times New Roman"/>
          <w:sz w:val="28"/>
        </w:rPr>
        <w:t xml:space="preserve">ся або можуть бути використані </w:t>
      </w:r>
      <w:r w:rsidR="00864E8F" w:rsidRPr="00864E8F">
        <w:rPr>
          <w:rFonts w:ascii="Times New Roman" w:hAnsi="Times New Roman" w:cs="Times New Roman"/>
          <w:sz w:val="28"/>
        </w:rPr>
        <w:t>чи реконструйовані, переобладнані для проживання ВПО</w:t>
      </w:r>
      <w:r>
        <w:rPr>
          <w:rFonts w:ascii="Times New Roman" w:hAnsi="Times New Roman" w:cs="Times New Roman"/>
          <w:sz w:val="28"/>
        </w:rPr>
        <w:t xml:space="preserve"> та передати на обстеження РВА.</w:t>
      </w:r>
      <w:r w:rsidR="00D44835">
        <w:rPr>
          <w:rFonts w:ascii="Times New Roman" w:hAnsi="Times New Roman" w:cs="Times New Roman"/>
          <w:sz w:val="28"/>
        </w:rPr>
        <w:t xml:space="preserve"> За результатами обстеження бу</w:t>
      </w:r>
      <w:r>
        <w:rPr>
          <w:rFonts w:ascii="Times New Roman" w:hAnsi="Times New Roman" w:cs="Times New Roman"/>
          <w:sz w:val="28"/>
        </w:rPr>
        <w:t>дуть</w:t>
      </w:r>
      <w:r w:rsidR="00D44835">
        <w:rPr>
          <w:rFonts w:ascii="Times New Roman" w:hAnsi="Times New Roman" w:cs="Times New Roman"/>
          <w:sz w:val="28"/>
        </w:rPr>
        <w:t xml:space="preserve"> сформовано Акти обстеження </w:t>
      </w:r>
      <w:r>
        <w:rPr>
          <w:rFonts w:ascii="Times New Roman" w:hAnsi="Times New Roman" w:cs="Times New Roman"/>
          <w:sz w:val="28"/>
        </w:rPr>
        <w:t xml:space="preserve">відповідних </w:t>
      </w:r>
      <w:r w:rsidR="00D44835">
        <w:rPr>
          <w:rFonts w:ascii="Times New Roman" w:hAnsi="Times New Roman" w:cs="Times New Roman"/>
          <w:sz w:val="28"/>
        </w:rPr>
        <w:t xml:space="preserve">об’єктів та встановлено </w:t>
      </w:r>
      <w:r w:rsidR="00D44835" w:rsidRPr="00D44835">
        <w:rPr>
          <w:rFonts w:ascii="Times New Roman" w:hAnsi="Times New Roman" w:cs="Times New Roman"/>
          <w:sz w:val="28"/>
        </w:rPr>
        <w:t>доцільність використання</w:t>
      </w:r>
      <w:r w:rsidR="00D44835">
        <w:rPr>
          <w:rFonts w:ascii="Times New Roman" w:hAnsi="Times New Roman" w:cs="Times New Roman"/>
          <w:sz w:val="28"/>
        </w:rPr>
        <w:t xml:space="preserve"> їх</w:t>
      </w:r>
      <w:r w:rsidR="00D44835" w:rsidRPr="00D44835">
        <w:rPr>
          <w:rFonts w:ascii="Times New Roman" w:hAnsi="Times New Roman" w:cs="Times New Roman"/>
          <w:sz w:val="28"/>
        </w:rPr>
        <w:t xml:space="preserve"> для проживання </w:t>
      </w:r>
      <w:r w:rsidR="00D44835">
        <w:rPr>
          <w:rFonts w:ascii="Times New Roman" w:hAnsi="Times New Roman" w:cs="Times New Roman"/>
          <w:sz w:val="28"/>
        </w:rPr>
        <w:t xml:space="preserve">ВПО. Надалі відомості про обстежені об’єкти будуть внесені </w:t>
      </w:r>
      <w:r w:rsidR="00864E8F" w:rsidRPr="00864E8F">
        <w:rPr>
          <w:rFonts w:ascii="Times New Roman" w:hAnsi="Times New Roman" w:cs="Times New Roman"/>
          <w:sz w:val="28"/>
        </w:rPr>
        <w:t xml:space="preserve">до Інформаційно-аналітичної системи об’єктів нерухомого майна для </w:t>
      </w:r>
      <w:r w:rsidR="00864E8F">
        <w:rPr>
          <w:rFonts w:ascii="Times New Roman" w:hAnsi="Times New Roman" w:cs="Times New Roman"/>
          <w:sz w:val="28"/>
        </w:rPr>
        <w:t xml:space="preserve">забезпечення </w:t>
      </w:r>
      <w:r w:rsidR="00864E8F" w:rsidRPr="00864E8F">
        <w:rPr>
          <w:rFonts w:ascii="Times New Roman" w:hAnsi="Times New Roman" w:cs="Times New Roman"/>
          <w:sz w:val="28"/>
        </w:rPr>
        <w:t>ВПО житлом</w:t>
      </w:r>
      <w:r w:rsidR="00D44835">
        <w:rPr>
          <w:rFonts w:ascii="Times New Roman" w:hAnsi="Times New Roman" w:cs="Times New Roman"/>
          <w:sz w:val="28"/>
        </w:rPr>
        <w:t>.</w:t>
      </w:r>
    </w:p>
    <w:p w:rsidR="00D44835" w:rsidRDefault="00D44835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організації цієї роботи утворено Координаційну комісію</w:t>
      </w:r>
      <w:r w:rsidRPr="00D44835">
        <w:rPr>
          <w:rFonts w:ascii="Times New Roman" w:hAnsi="Times New Roman" w:cs="Times New Roman"/>
          <w:sz w:val="28"/>
        </w:rPr>
        <w:t xml:space="preserve"> з обліку об’єктів нерухомого майна для</w:t>
      </w:r>
      <w:r>
        <w:rPr>
          <w:rFonts w:ascii="Times New Roman" w:hAnsi="Times New Roman" w:cs="Times New Roman"/>
          <w:sz w:val="28"/>
        </w:rPr>
        <w:t xml:space="preserve"> проживання ВПО при </w:t>
      </w:r>
      <w:r w:rsidRPr="00D44835">
        <w:rPr>
          <w:rFonts w:ascii="Times New Roman" w:hAnsi="Times New Roman" w:cs="Times New Roman"/>
          <w:sz w:val="28"/>
        </w:rPr>
        <w:t>Чернівецькій ОВА</w:t>
      </w:r>
      <w:r>
        <w:rPr>
          <w:rFonts w:ascii="Times New Roman" w:hAnsi="Times New Roman" w:cs="Times New Roman"/>
          <w:sz w:val="28"/>
        </w:rPr>
        <w:t xml:space="preserve"> та </w:t>
      </w:r>
      <w:r w:rsidR="0069693A">
        <w:rPr>
          <w:rFonts w:ascii="Times New Roman" w:hAnsi="Times New Roman" w:cs="Times New Roman"/>
          <w:sz w:val="28"/>
        </w:rPr>
        <w:t>3 к</w:t>
      </w:r>
      <w:r w:rsidRPr="00D44835">
        <w:rPr>
          <w:rFonts w:ascii="Times New Roman" w:hAnsi="Times New Roman" w:cs="Times New Roman"/>
          <w:sz w:val="28"/>
        </w:rPr>
        <w:t>омісії з обстеження об’єктів нерухомог</w:t>
      </w:r>
      <w:r w:rsidR="0069693A">
        <w:rPr>
          <w:rFonts w:ascii="Times New Roman" w:hAnsi="Times New Roman" w:cs="Times New Roman"/>
          <w:sz w:val="28"/>
        </w:rPr>
        <w:t xml:space="preserve">о майна для проживання ВПО при </w:t>
      </w:r>
      <w:r w:rsidRPr="00D44835">
        <w:rPr>
          <w:rFonts w:ascii="Times New Roman" w:hAnsi="Times New Roman" w:cs="Times New Roman"/>
          <w:sz w:val="28"/>
        </w:rPr>
        <w:t xml:space="preserve">Чернівецькій, </w:t>
      </w:r>
      <w:proofErr w:type="spellStart"/>
      <w:r w:rsidRPr="00D44835">
        <w:rPr>
          <w:rFonts w:ascii="Times New Roman" w:hAnsi="Times New Roman" w:cs="Times New Roman"/>
          <w:sz w:val="28"/>
        </w:rPr>
        <w:t>Вижницькій</w:t>
      </w:r>
      <w:proofErr w:type="spellEnd"/>
      <w:r w:rsidRPr="00D44835">
        <w:rPr>
          <w:rFonts w:ascii="Times New Roman" w:hAnsi="Times New Roman" w:cs="Times New Roman"/>
          <w:sz w:val="28"/>
        </w:rPr>
        <w:t xml:space="preserve"> та Дністровській РВА</w:t>
      </w:r>
      <w:r w:rsidR="0069693A">
        <w:rPr>
          <w:rFonts w:ascii="Times New Roman" w:hAnsi="Times New Roman" w:cs="Times New Roman"/>
          <w:sz w:val="28"/>
        </w:rPr>
        <w:t>.</w:t>
      </w:r>
    </w:p>
    <w:p w:rsidR="0069693A" w:rsidRDefault="0069693A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Основні завдання Координаційної комісії:</w:t>
      </w:r>
    </w:p>
    <w:p w:rsidR="0069693A" w:rsidRPr="0069693A" w:rsidRDefault="007703C8" w:rsidP="0024384F">
      <w:pPr>
        <w:pStyle w:val="ab"/>
        <w:numPr>
          <w:ilvl w:val="0"/>
          <w:numId w:val="3"/>
        </w:num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прийняття рішень про</w:t>
      </w:r>
      <w:r w:rsidR="0069693A" w:rsidRPr="0069693A">
        <w:rPr>
          <w:rFonts w:ascii="Times New Roman" w:hAnsi="Times New Roman" w:cs="Times New Roman"/>
          <w:sz w:val="28"/>
        </w:rPr>
        <w:t xml:space="preserve"> проведення обстеження об’єктів нерухомого майна, у тому числі із встан</w:t>
      </w:r>
      <w:r w:rsidR="0069693A">
        <w:rPr>
          <w:rFonts w:ascii="Times New Roman" w:hAnsi="Times New Roman" w:cs="Times New Roman"/>
          <w:sz w:val="28"/>
        </w:rPr>
        <w:t>овленням черговості та строків;</w:t>
      </w:r>
    </w:p>
    <w:p w:rsidR="0069693A" w:rsidRPr="0069693A" w:rsidRDefault="0069693A" w:rsidP="0024384F">
      <w:pPr>
        <w:pStyle w:val="ab"/>
        <w:numPr>
          <w:ilvl w:val="0"/>
          <w:numId w:val="3"/>
        </w:num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69693A">
        <w:rPr>
          <w:rFonts w:ascii="Times New Roman" w:hAnsi="Times New Roman" w:cs="Times New Roman"/>
          <w:sz w:val="28"/>
        </w:rPr>
        <w:t>передача відомостей про об’єкти нерухомого майна відповідним комісіям з обстеження об’єктів нерухомого майна для проживання ВПО при РВА</w:t>
      </w:r>
      <w:r>
        <w:rPr>
          <w:rFonts w:ascii="Times New Roman" w:hAnsi="Times New Roman" w:cs="Times New Roman"/>
          <w:sz w:val="28"/>
        </w:rPr>
        <w:t>;</w:t>
      </w:r>
    </w:p>
    <w:p w:rsidR="0069693A" w:rsidRPr="0069693A" w:rsidRDefault="0069693A" w:rsidP="0024384F">
      <w:pPr>
        <w:pStyle w:val="ab"/>
        <w:numPr>
          <w:ilvl w:val="0"/>
          <w:numId w:val="3"/>
        </w:num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69693A">
        <w:rPr>
          <w:rFonts w:ascii="Times New Roman" w:hAnsi="Times New Roman" w:cs="Times New Roman"/>
          <w:sz w:val="28"/>
        </w:rPr>
        <w:t>розгляд Актів обстеження нерухомого майна, складених комісіями з обстеження</w:t>
      </w:r>
      <w:r>
        <w:rPr>
          <w:rFonts w:ascii="Times New Roman" w:hAnsi="Times New Roman" w:cs="Times New Roman"/>
          <w:sz w:val="28"/>
        </w:rPr>
        <w:t>;</w:t>
      </w:r>
    </w:p>
    <w:p w:rsidR="0069693A" w:rsidRPr="0069693A" w:rsidRDefault="0069693A" w:rsidP="0024384F">
      <w:pPr>
        <w:pStyle w:val="ab"/>
        <w:numPr>
          <w:ilvl w:val="0"/>
          <w:numId w:val="3"/>
        </w:num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69693A">
        <w:rPr>
          <w:rFonts w:ascii="Times New Roman" w:hAnsi="Times New Roman" w:cs="Times New Roman"/>
          <w:sz w:val="28"/>
        </w:rPr>
        <w:t>звернення до власника об’єкта нерухомого майна (у тому числі територіальної громади, суб’єкта управління об’єктами державної власності) щодо можливості використання такого об’єкта для проживання ВПО</w:t>
      </w:r>
      <w:r>
        <w:rPr>
          <w:rFonts w:ascii="Times New Roman" w:hAnsi="Times New Roman" w:cs="Times New Roman"/>
          <w:sz w:val="28"/>
        </w:rPr>
        <w:t>;</w:t>
      </w:r>
    </w:p>
    <w:p w:rsidR="0069693A" w:rsidRDefault="0069693A" w:rsidP="0024384F">
      <w:pPr>
        <w:pStyle w:val="ab"/>
        <w:numPr>
          <w:ilvl w:val="0"/>
          <w:numId w:val="3"/>
        </w:num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69693A">
        <w:rPr>
          <w:rFonts w:ascii="Times New Roman" w:hAnsi="Times New Roman" w:cs="Times New Roman"/>
          <w:sz w:val="28"/>
        </w:rPr>
        <w:t>здійснення обліку об’єктів нерухомого майна, які використовуються або можуть бути використані чи реконструйовані, переобладнані для проживання внутрішньо переміщених осіб, шляхом наповнення Інформаційно-аналітичної системи об’єктів нерухом</w:t>
      </w:r>
      <w:r>
        <w:rPr>
          <w:rFonts w:ascii="Times New Roman" w:hAnsi="Times New Roman" w:cs="Times New Roman"/>
          <w:sz w:val="28"/>
        </w:rPr>
        <w:t xml:space="preserve">ого майна для забезпечення ВПО </w:t>
      </w:r>
      <w:r w:rsidRPr="0069693A">
        <w:rPr>
          <w:rFonts w:ascii="Times New Roman" w:hAnsi="Times New Roman" w:cs="Times New Roman"/>
          <w:sz w:val="28"/>
        </w:rPr>
        <w:t>житлом</w:t>
      </w:r>
      <w:r>
        <w:rPr>
          <w:rFonts w:ascii="Times New Roman" w:hAnsi="Times New Roman" w:cs="Times New Roman"/>
          <w:sz w:val="28"/>
        </w:rPr>
        <w:t>.</w:t>
      </w:r>
    </w:p>
    <w:p w:rsidR="0069693A" w:rsidRDefault="0069693A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Основні завдання </w:t>
      </w:r>
      <w:r w:rsidRPr="0069693A">
        <w:rPr>
          <w:rFonts w:ascii="Times New Roman" w:hAnsi="Times New Roman" w:cs="Times New Roman"/>
          <w:sz w:val="28"/>
        </w:rPr>
        <w:t>комісії</w:t>
      </w:r>
      <w:r>
        <w:rPr>
          <w:rFonts w:ascii="Times New Roman" w:hAnsi="Times New Roman" w:cs="Times New Roman"/>
          <w:sz w:val="28"/>
        </w:rPr>
        <w:t xml:space="preserve"> з обстеження</w:t>
      </w:r>
      <w:r w:rsidRPr="0069693A">
        <w:rPr>
          <w:rFonts w:ascii="Times New Roman" w:hAnsi="Times New Roman" w:cs="Times New Roman"/>
          <w:sz w:val="28"/>
        </w:rPr>
        <w:t>:</w:t>
      </w:r>
    </w:p>
    <w:p w:rsidR="0069693A" w:rsidRPr="0069693A" w:rsidRDefault="0069693A" w:rsidP="0024384F">
      <w:pPr>
        <w:pStyle w:val="ab"/>
        <w:numPr>
          <w:ilvl w:val="0"/>
          <w:numId w:val="4"/>
        </w:num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69693A">
        <w:rPr>
          <w:rFonts w:ascii="Times New Roman" w:hAnsi="Times New Roman" w:cs="Times New Roman"/>
          <w:sz w:val="28"/>
        </w:rPr>
        <w:t>проведення обстеження нерухомого майна</w:t>
      </w:r>
      <w:r>
        <w:rPr>
          <w:rFonts w:ascii="Times New Roman" w:hAnsi="Times New Roman" w:cs="Times New Roman"/>
          <w:sz w:val="28"/>
        </w:rPr>
        <w:t>;</w:t>
      </w:r>
    </w:p>
    <w:p w:rsidR="00863AF7" w:rsidRPr="00863AF7" w:rsidRDefault="0069693A" w:rsidP="0024384F">
      <w:pPr>
        <w:pStyle w:val="ab"/>
        <w:numPr>
          <w:ilvl w:val="0"/>
          <w:numId w:val="4"/>
        </w:num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69693A">
        <w:rPr>
          <w:rFonts w:ascii="Times New Roman" w:hAnsi="Times New Roman" w:cs="Times New Roman"/>
          <w:sz w:val="28"/>
        </w:rPr>
        <w:t>складення Актів обстеження нерухомого майна</w:t>
      </w:r>
      <w:r>
        <w:rPr>
          <w:rFonts w:ascii="Times New Roman" w:hAnsi="Times New Roman" w:cs="Times New Roman"/>
          <w:sz w:val="28"/>
        </w:rPr>
        <w:t>.</w:t>
      </w:r>
    </w:p>
    <w:p w:rsidR="0069693A" w:rsidRPr="00863AF7" w:rsidRDefault="0069693A" w:rsidP="0024384F">
      <w:pPr>
        <w:spacing w:after="0"/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69693A">
        <w:rPr>
          <w:rFonts w:ascii="Times New Roman" w:hAnsi="Times New Roman" w:cs="Times New Roman"/>
          <w:sz w:val="28"/>
        </w:rPr>
        <w:lastRenderedPageBreak/>
        <w:t>Обстеженню підлягають об’єкти державної, комунальної та приватної (за згодою власників) форми власності</w:t>
      </w:r>
      <w:r>
        <w:rPr>
          <w:rFonts w:ascii="Times New Roman" w:hAnsi="Times New Roman" w:cs="Times New Roman"/>
          <w:sz w:val="28"/>
        </w:rPr>
        <w:t>, а саме</w:t>
      </w:r>
      <w:r w:rsidR="00863AF7">
        <w:rPr>
          <w:rFonts w:ascii="Times New Roman" w:hAnsi="Times New Roman" w:cs="Times New Roman"/>
          <w:sz w:val="28"/>
        </w:rPr>
        <w:t xml:space="preserve">: </w:t>
      </w:r>
      <w:r w:rsidRPr="00863AF7">
        <w:rPr>
          <w:rFonts w:ascii="Times New Roman" w:hAnsi="Times New Roman" w:cs="Times New Roman"/>
          <w:sz w:val="28"/>
        </w:rPr>
        <w:t>будівлі, споруди (їх окремі частини);</w:t>
      </w:r>
      <w:r w:rsidR="00863AF7" w:rsidRPr="00863AF7">
        <w:rPr>
          <w:rFonts w:ascii="Times New Roman" w:hAnsi="Times New Roman" w:cs="Times New Roman"/>
          <w:sz w:val="28"/>
        </w:rPr>
        <w:t xml:space="preserve"> </w:t>
      </w:r>
      <w:r w:rsidRPr="00863AF7">
        <w:rPr>
          <w:rFonts w:ascii="Times New Roman" w:hAnsi="Times New Roman" w:cs="Times New Roman"/>
          <w:sz w:val="28"/>
        </w:rPr>
        <w:t>квартири, житлові та нежитлові приміщення;</w:t>
      </w:r>
      <w:r w:rsidR="00863AF7" w:rsidRPr="00863AF7">
        <w:rPr>
          <w:rFonts w:ascii="Times New Roman" w:hAnsi="Times New Roman" w:cs="Times New Roman"/>
          <w:sz w:val="28"/>
        </w:rPr>
        <w:t xml:space="preserve"> </w:t>
      </w:r>
      <w:r w:rsidRPr="00863AF7">
        <w:rPr>
          <w:rFonts w:ascii="Times New Roman" w:hAnsi="Times New Roman" w:cs="Times New Roman"/>
          <w:sz w:val="28"/>
        </w:rPr>
        <w:t>житлові будинки;</w:t>
      </w:r>
      <w:r w:rsidR="00863AF7" w:rsidRPr="00863AF7">
        <w:rPr>
          <w:rFonts w:ascii="Times New Roman" w:hAnsi="Times New Roman" w:cs="Times New Roman"/>
          <w:sz w:val="28"/>
        </w:rPr>
        <w:t xml:space="preserve"> земельні ділянки та </w:t>
      </w:r>
      <w:r w:rsidRPr="00863AF7">
        <w:rPr>
          <w:rFonts w:ascii="Times New Roman" w:hAnsi="Times New Roman" w:cs="Times New Roman"/>
          <w:sz w:val="28"/>
        </w:rPr>
        <w:t>інші об’єкти нерухомого майна.</w:t>
      </w:r>
    </w:p>
    <w:p w:rsidR="0069693A" w:rsidRDefault="0069693A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Такі об'єкти </w:t>
      </w:r>
      <w:r w:rsidRPr="0069693A">
        <w:rPr>
          <w:rFonts w:ascii="Times New Roman" w:hAnsi="Times New Roman" w:cs="Times New Roman"/>
          <w:sz w:val="28"/>
        </w:rPr>
        <w:t>використовуються або можуть бути використані чи реконструйовані, переобладнані для проживання внутрішньо переміщених осіб</w:t>
      </w:r>
      <w:r>
        <w:rPr>
          <w:rFonts w:ascii="Times New Roman" w:hAnsi="Times New Roman" w:cs="Times New Roman"/>
          <w:sz w:val="28"/>
        </w:rPr>
        <w:t>.</w:t>
      </w:r>
    </w:p>
    <w:p w:rsidR="00863AF7" w:rsidRDefault="00863AF7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863AF7">
        <w:rPr>
          <w:rFonts w:ascii="Times New Roman" w:hAnsi="Times New Roman" w:cs="Times New Roman"/>
          <w:sz w:val="28"/>
        </w:rPr>
        <w:t>Обстеження об’єктів нерухомого майна здійснюється з урахуванням черговості і строків, визначених рішенням Координаційної комісії, але не пізніше ніж протягом трьох місяців з дня отримання відповідного рішення</w:t>
      </w:r>
    </w:p>
    <w:p w:rsidR="0069693A" w:rsidRDefault="00863AF7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чином, територіальні громади</w:t>
      </w:r>
      <w:r w:rsidRPr="00863AF7">
        <w:rPr>
          <w:rFonts w:ascii="Times New Roman" w:hAnsi="Times New Roman" w:cs="Times New Roman"/>
          <w:sz w:val="28"/>
        </w:rPr>
        <w:t xml:space="preserve"> </w:t>
      </w:r>
      <w:r w:rsidRPr="00863AF7">
        <w:rPr>
          <w:rFonts w:ascii="Times New Roman" w:hAnsi="Times New Roman" w:cs="Times New Roman"/>
          <w:b/>
          <w:sz w:val="28"/>
        </w:rPr>
        <w:t>д</w:t>
      </w:r>
      <w:r w:rsidR="0069693A" w:rsidRPr="00863AF7">
        <w:rPr>
          <w:rFonts w:ascii="Times New Roman" w:hAnsi="Times New Roman" w:cs="Times New Roman"/>
          <w:b/>
          <w:sz w:val="28"/>
        </w:rPr>
        <w:t>о 29.05.2025</w:t>
      </w:r>
      <w:r w:rsidR="006969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надали</w:t>
      </w:r>
      <w:r w:rsidR="0069693A" w:rsidRPr="0069693A">
        <w:rPr>
          <w:rFonts w:ascii="Times New Roman" w:hAnsi="Times New Roman" w:cs="Times New Roman"/>
          <w:sz w:val="28"/>
        </w:rPr>
        <w:t xml:space="preserve"> </w:t>
      </w:r>
      <w:r w:rsidRPr="00863AF7">
        <w:rPr>
          <w:rFonts w:ascii="Times New Roman" w:hAnsi="Times New Roman" w:cs="Times New Roman"/>
          <w:sz w:val="28"/>
        </w:rPr>
        <w:t xml:space="preserve">ОВА </w:t>
      </w:r>
      <w:r w:rsidR="007703C8">
        <w:rPr>
          <w:rFonts w:ascii="Times New Roman" w:hAnsi="Times New Roman" w:cs="Times New Roman"/>
          <w:sz w:val="28"/>
        </w:rPr>
        <w:t>такі</w:t>
      </w:r>
      <w:r w:rsidR="0069693A">
        <w:rPr>
          <w:rFonts w:ascii="Times New Roman" w:hAnsi="Times New Roman" w:cs="Times New Roman"/>
          <w:sz w:val="28"/>
        </w:rPr>
        <w:t xml:space="preserve"> об’єкти</w:t>
      </w:r>
      <w:r>
        <w:rPr>
          <w:rFonts w:ascii="Times New Roman" w:hAnsi="Times New Roman" w:cs="Times New Roman"/>
          <w:sz w:val="28"/>
        </w:rPr>
        <w:t xml:space="preserve"> комунальної та приватної власності</w:t>
      </w:r>
      <w:r w:rsidR="0069693A">
        <w:rPr>
          <w:rFonts w:ascii="Times New Roman" w:hAnsi="Times New Roman" w:cs="Times New Roman"/>
          <w:sz w:val="28"/>
        </w:rPr>
        <w:t>, які підлягають обстеженню:</w:t>
      </w:r>
    </w:p>
    <w:p w:rsidR="00863AF7" w:rsidRDefault="00863AF7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CD34FF">
        <w:rPr>
          <w:rFonts w:ascii="Times New Roman" w:hAnsi="Times New Roman" w:cs="Times New Roman"/>
          <w:b/>
          <w:sz w:val="28"/>
        </w:rPr>
        <w:t>8</w:t>
      </w:r>
      <w:r w:rsidR="00B96817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будівель;</w:t>
      </w:r>
    </w:p>
    <w:p w:rsidR="00863AF7" w:rsidRDefault="00863AF7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CD34FF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житлових будинків</w:t>
      </w:r>
      <w:r w:rsidR="00CD34FF">
        <w:rPr>
          <w:rFonts w:ascii="Times New Roman" w:hAnsi="Times New Roman" w:cs="Times New Roman"/>
          <w:sz w:val="28"/>
        </w:rPr>
        <w:t>;</w:t>
      </w:r>
    </w:p>
    <w:p w:rsidR="0069693A" w:rsidRDefault="00CD34FF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 w:rsidRPr="00CD34FF">
        <w:rPr>
          <w:rFonts w:ascii="Times New Roman" w:hAnsi="Times New Roman" w:cs="Times New Roman"/>
          <w:b/>
          <w:sz w:val="28"/>
        </w:rPr>
        <w:t>154</w:t>
      </w:r>
      <w:r>
        <w:rPr>
          <w:rFonts w:ascii="Times New Roman" w:hAnsi="Times New Roman" w:cs="Times New Roman"/>
          <w:sz w:val="28"/>
        </w:rPr>
        <w:t xml:space="preserve"> земельні ділянки.</w:t>
      </w:r>
    </w:p>
    <w:p w:rsidR="0069693A" w:rsidRDefault="007703C8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Також, </w:t>
      </w:r>
      <w:r w:rsidR="00CD34FF">
        <w:rPr>
          <w:rFonts w:ascii="Times New Roman" w:hAnsi="Times New Roman" w:cs="Times New Roman"/>
          <w:sz w:val="28"/>
        </w:rPr>
        <w:t xml:space="preserve">Фондом державного майна України надано ОВА перелік об’єктів державної власності, які підлягають обстеженню. Загальна кількість – </w:t>
      </w:r>
      <w:r w:rsidR="00CD34FF" w:rsidRPr="00CD34FF">
        <w:rPr>
          <w:rFonts w:ascii="Times New Roman" w:hAnsi="Times New Roman" w:cs="Times New Roman"/>
          <w:b/>
          <w:sz w:val="28"/>
        </w:rPr>
        <w:t xml:space="preserve">303 </w:t>
      </w:r>
      <w:r w:rsidR="00CD34FF">
        <w:rPr>
          <w:rFonts w:ascii="Times New Roman" w:hAnsi="Times New Roman" w:cs="Times New Roman"/>
          <w:sz w:val="28"/>
        </w:rPr>
        <w:t>об’єкти нерухомості.</w:t>
      </w:r>
    </w:p>
    <w:p w:rsidR="00CD34FF" w:rsidRDefault="00CD34FF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Крім того, ОВА </w:t>
      </w:r>
      <w:r w:rsidRPr="00CD34FF">
        <w:rPr>
          <w:rFonts w:ascii="Times New Roman" w:hAnsi="Times New Roman" w:cs="Times New Roman"/>
          <w:sz w:val="28"/>
        </w:rPr>
        <w:t xml:space="preserve">забезпечує функціонування на території області </w:t>
      </w:r>
      <w:r w:rsidRPr="00CD34FF">
        <w:rPr>
          <w:rFonts w:ascii="Times New Roman" w:hAnsi="Times New Roman" w:cs="Times New Roman"/>
          <w:b/>
          <w:sz w:val="28"/>
        </w:rPr>
        <w:t>63-х</w:t>
      </w:r>
      <w:r w:rsidRPr="00CD34FF">
        <w:rPr>
          <w:rFonts w:ascii="Times New Roman" w:hAnsi="Times New Roman" w:cs="Times New Roman"/>
          <w:sz w:val="28"/>
        </w:rPr>
        <w:t xml:space="preserve"> приміщень, які включено до переліку місць тимчасового проживання Чернівецької області (далі – МТП), що затверджено розпорядженням </w:t>
      </w:r>
      <w:r w:rsidR="007703C8">
        <w:rPr>
          <w:rFonts w:ascii="Times New Roman" w:hAnsi="Times New Roman" w:cs="Times New Roman"/>
          <w:sz w:val="28"/>
        </w:rPr>
        <w:t xml:space="preserve">ОВА </w:t>
      </w:r>
      <w:r w:rsidRPr="00CD34FF">
        <w:rPr>
          <w:rFonts w:ascii="Times New Roman" w:hAnsi="Times New Roman" w:cs="Times New Roman"/>
          <w:sz w:val="28"/>
        </w:rPr>
        <w:t>від 06.11.2023 № 1100-р «Про затвердження переліку місць тимчасового проживання Чернівецької області» (із змінами).</w:t>
      </w:r>
      <w:r>
        <w:rPr>
          <w:rFonts w:ascii="Times New Roman" w:hAnsi="Times New Roman" w:cs="Times New Roman"/>
          <w:sz w:val="28"/>
        </w:rPr>
        <w:t xml:space="preserve"> </w:t>
      </w:r>
      <w:r w:rsidRPr="00CD34FF">
        <w:rPr>
          <w:rFonts w:ascii="Times New Roman" w:hAnsi="Times New Roman" w:cs="Times New Roman"/>
          <w:sz w:val="28"/>
        </w:rPr>
        <w:t>Наразі в МТП облаштовано 3089 ліжко-місць для розміщення внутрішньо переміщених осіб, з яких вільних – 82 ліжко-місць</w:t>
      </w:r>
      <w:r>
        <w:rPr>
          <w:rFonts w:ascii="Times New Roman" w:hAnsi="Times New Roman" w:cs="Times New Roman"/>
          <w:sz w:val="28"/>
        </w:rPr>
        <w:t>. Зазначені об’єкти, також підлягають обстеженню комісіями з обстеження</w:t>
      </w:r>
      <w:r w:rsidR="008534AF">
        <w:rPr>
          <w:rFonts w:ascii="Times New Roman" w:hAnsi="Times New Roman" w:cs="Times New Roman"/>
          <w:sz w:val="28"/>
        </w:rPr>
        <w:t xml:space="preserve"> при РВА</w:t>
      </w:r>
      <w:r>
        <w:rPr>
          <w:rFonts w:ascii="Times New Roman" w:hAnsi="Times New Roman" w:cs="Times New Roman"/>
          <w:sz w:val="28"/>
        </w:rPr>
        <w:t>.</w:t>
      </w:r>
    </w:p>
    <w:p w:rsidR="00CD34FF" w:rsidRDefault="00CD34FF" w:rsidP="0024384F">
      <w:pPr>
        <w:ind w:left="-709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чином, загальна кількість</w:t>
      </w:r>
      <w:r w:rsidRPr="00CD34FF">
        <w:rPr>
          <w:rFonts w:ascii="Times New Roman" w:hAnsi="Times New Roman" w:cs="Times New Roman"/>
          <w:sz w:val="28"/>
        </w:rPr>
        <w:t xml:space="preserve"> нерухомого майна, яке підлягає обстеженню</w:t>
      </w:r>
      <w:r>
        <w:rPr>
          <w:rFonts w:ascii="Times New Roman" w:hAnsi="Times New Roman" w:cs="Times New Roman"/>
          <w:sz w:val="28"/>
        </w:rPr>
        <w:t xml:space="preserve"> на території області становить </w:t>
      </w:r>
      <w:r w:rsidRPr="00CD34FF">
        <w:rPr>
          <w:rFonts w:ascii="Times New Roman" w:hAnsi="Times New Roman" w:cs="Times New Roman"/>
          <w:b/>
          <w:sz w:val="28"/>
        </w:rPr>
        <w:t>60</w:t>
      </w:r>
      <w:r w:rsidR="00B96817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об’єктів.</w:t>
      </w:r>
      <w:r w:rsidR="0065760F">
        <w:rPr>
          <w:rFonts w:ascii="Times New Roman" w:hAnsi="Times New Roman" w:cs="Times New Roman"/>
          <w:sz w:val="28"/>
        </w:rPr>
        <w:t xml:space="preserve"> Детальна інформація у розрізі районів наведена на слайдах презентації.</w:t>
      </w:r>
    </w:p>
    <w:p w:rsidR="0024384F" w:rsidRPr="0069693A" w:rsidRDefault="0024384F" w:rsidP="0024384F">
      <w:pPr>
        <w:spacing w:line="240" w:lineRule="auto"/>
        <w:ind w:left="-709" w:right="-426"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4384F" w:rsidRPr="0069693A" w:rsidSect="0024384F">
      <w:headerReference w:type="default" r:id="rId8"/>
      <w:pgSz w:w="11906" w:h="16838"/>
      <w:pgMar w:top="567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0A" w:rsidRDefault="00783D0A" w:rsidP="003E73B9">
      <w:pPr>
        <w:spacing w:after="0" w:line="240" w:lineRule="auto"/>
      </w:pPr>
      <w:r>
        <w:separator/>
      </w:r>
    </w:p>
  </w:endnote>
  <w:endnote w:type="continuationSeparator" w:id="0">
    <w:p w:rsidR="00783D0A" w:rsidRDefault="00783D0A" w:rsidP="003E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 Light">
    <w:panose1 w:val="02040303050405020204"/>
    <w:charset w:val="CC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0A" w:rsidRDefault="00783D0A" w:rsidP="003E73B9">
      <w:pPr>
        <w:spacing w:after="0" w:line="240" w:lineRule="auto"/>
      </w:pPr>
      <w:r>
        <w:separator/>
      </w:r>
    </w:p>
  </w:footnote>
  <w:footnote w:type="continuationSeparator" w:id="0">
    <w:p w:rsidR="00783D0A" w:rsidRDefault="00783D0A" w:rsidP="003E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471643"/>
      <w:docPartObj>
        <w:docPartGallery w:val="Page Numbers (Top of Page)"/>
        <w:docPartUnique/>
      </w:docPartObj>
    </w:sdtPr>
    <w:sdtEndPr/>
    <w:sdtContent>
      <w:p w:rsidR="0024384F" w:rsidRDefault="002438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F29">
          <w:rPr>
            <w:noProof/>
          </w:rPr>
          <w:t>2</w:t>
        </w:r>
        <w:r>
          <w:fldChar w:fldCharType="end"/>
        </w:r>
      </w:p>
    </w:sdtContent>
  </w:sdt>
  <w:p w:rsidR="0024384F" w:rsidRDefault="002438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D56"/>
    <w:multiLevelType w:val="hybridMultilevel"/>
    <w:tmpl w:val="CE18FD7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EA205F"/>
    <w:multiLevelType w:val="hybridMultilevel"/>
    <w:tmpl w:val="349A5A40"/>
    <w:lvl w:ilvl="0" w:tplc="DCB6F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08E3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D669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FFC088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75CC6B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DFE9FF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CD89F8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BCD4E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4A2BC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4DB2A4D"/>
    <w:multiLevelType w:val="hybridMultilevel"/>
    <w:tmpl w:val="E924D234"/>
    <w:lvl w:ilvl="0" w:tplc="BBE0167A">
      <w:start w:val="1"/>
      <w:numFmt w:val="bullet"/>
      <w:lvlText w:val="-"/>
      <w:lvlJc w:val="left"/>
      <w:pPr>
        <w:ind w:left="1287" w:hanging="360"/>
      </w:pPr>
      <w:rPr>
        <w:rFonts w:ascii="Source Serif Pro Light" w:hAnsi="Source Serif Pro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F51D8C"/>
    <w:multiLevelType w:val="hybridMultilevel"/>
    <w:tmpl w:val="9DD22646"/>
    <w:lvl w:ilvl="0" w:tplc="BBE0167A">
      <w:start w:val="1"/>
      <w:numFmt w:val="bullet"/>
      <w:lvlText w:val="-"/>
      <w:lvlJc w:val="left"/>
      <w:pPr>
        <w:ind w:left="1287" w:hanging="360"/>
      </w:pPr>
      <w:rPr>
        <w:rFonts w:ascii="Source Serif Pro Light" w:hAnsi="Source Serif Pro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49"/>
    <w:rsid w:val="00037265"/>
    <w:rsid w:val="0024384F"/>
    <w:rsid w:val="003E73B9"/>
    <w:rsid w:val="004142B2"/>
    <w:rsid w:val="004F1845"/>
    <w:rsid w:val="0065760F"/>
    <w:rsid w:val="00663349"/>
    <w:rsid w:val="0069693A"/>
    <w:rsid w:val="006A3342"/>
    <w:rsid w:val="00735AEB"/>
    <w:rsid w:val="007703C8"/>
    <w:rsid w:val="00772DD9"/>
    <w:rsid w:val="00783D0A"/>
    <w:rsid w:val="008534AF"/>
    <w:rsid w:val="00863AF7"/>
    <w:rsid w:val="00864E8F"/>
    <w:rsid w:val="00895983"/>
    <w:rsid w:val="00B96817"/>
    <w:rsid w:val="00BD7633"/>
    <w:rsid w:val="00C301EC"/>
    <w:rsid w:val="00CD34FF"/>
    <w:rsid w:val="00D44835"/>
    <w:rsid w:val="00D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E73B9"/>
    <w:rPr>
      <w:b/>
      <w:bCs/>
    </w:rPr>
  </w:style>
  <w:style w:type="paragraph" w:styleId="a5">
    <w:name w:val="header"/>
    <w:basedOn w:val="a"/>
    <w:link w:val="a6"/>
    <w:uiPriority w:val="99"/>
    <w:unhideWhenUsed/>
    <w:rsid w:val="003E73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E73B9"/>
  </w:style>
  <w:style w:type="paragraph" w:styleId="a7">
    <w:name w:val="footer"/>
    <w:basedOn w:val="a"/>
    <w:link w:val="a8"/>
    <w:uiPriority w:val="99"/>
    <w:unhideWhenUsed/>
    <w:rsid w:val="003E73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E73B9"/>
  </w:style>
  <w:style w:type="paragraph" w:styleId="a9">
    <w:name w:val="Balloon Text"/>
    <w:basedOn w:val="a"/>
    <w:link w:val="aa"/>
    <w:uiPriority w:val="99"/>
    <w:semiHidden/>
    <w:unhideWhenUsed/>
    <w:rsid w:val="0073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35A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96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E73B9"/>
    <w:rPr>
      <w:b/>
      <w:bCs/>
    </w:rPr>
  </w:style>
  <w:style w:type="paragraph" w:styleId="a5">
    <w:name w:val="header"/>
    <w:basedOn w:val="a"/>
    <w:link w:val="a6"/>
    <w:uiPriority w:val="99"/>
    <w:unhideWhenUsed/>
    <w:rsid w:val="003E73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E73B9"/>
  </w:style>
  <w:style w:type="paragraph" w:styleId="a7">
    <w:name w:val="footer"/>
    <w:basedOn w:val="a"/>
    <w:link w:val="a8"/>
    <w:uiPriority w:val="99"/>
    <w:unhideWhenUsed/>
    <w:rsid w:val="003E73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E73B9"/>
  </w:style>
  <w:style w:type="paragraph" w:styleId="a9">
    <w:name w:val="Balloon Text"/>
    <w:basedOn w:val="a"/>
    <w:link w:val="aa"/>
    <w:uiPriority w:val="99"/>
    <w:semiHidden/>
    <w:unhideWhenUsed/>
    <w:rsid w:val="0073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35A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9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2024-06-06T14:29:00Z</cp:lastPrinted>
  <dcterms:created xsi:type="dcterms:W3CDTF">2025-07-25T16:34:00Z</dcterms:created>
  <dcterms:modified xsi:type="dcterms:W3CDTF">2025-07-25T16:34:00Z</dcterms:modified>
</cp:coreProperties>
</file>