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7C6" w:rsidRPr="00703D7C" w:rsidRDefault="00703D7C" w:rsidP="00703D7C">
      <w:pPr>
        <w:jc w:val="center"/>
        <w:rPr>
          <w:b/>
        </w:rPr>
      </w:pPr>
      <w:r w:rsidRPr="00703D7C">
        <w:rPr>
          <w:b/>
        </w:rPr>
        <w:t xml:space="preserve">Інформація про здійснення </w:t>
      </w:r>
      <w:r w:rsidR="00BE07C6" w:rsidRPr="00703D7C">
        <w:rPr>
          <w:b/>
        </w:rPr>
        <w:t xml:space="preserve">державної регуляторної політики </w:t>
      </w:r>
    </w:p>
    <w:p w:rsidR="00B50386" w:rsidRPr="00703D7C" w:rsidRDefault="003B7750" w:rsidP="00703D7C">
      <w:pPr>
        <w:jc w:val="center"/>
        <w:rPr>
          <w:b/>
        </w:rPr>
      </w:pPr>
      <w:r>
        <w:rPr>
          <w:b/>
        </w:rPr>
        <w:t>в Чернівецькій області за 2019</w:t>
      </w:r>
      <w:r w:rsidR="00BE07C6" w:rsidRPr="00703D7C">
        <w:rPr>
          <w:b/>
        </w:rPr>
        <w:t xml:space="preserve"> рік </w:t>
      </w:r>
    </w:p>
    <w:p w:rsidR="00BE07C6" w:rsidRPr="00BE07C6" w:rsidRDefault="00BE07C6" w:rsidP="00BE07C6">
      <w:pPr>
        <w:ind w:firstLine="709"/>
        <w:jc w:val="center"/>
        <w:rPr>
          <w:b/>
        </w:rPr>
      </w:pPr>
    </w:p>
    <w:p w:rsidR="00B50386" w:rsidRPr="00937466" w:rsidRDefault="00B50386" w:rsidP="00B50386">
      <w:pPr>
        <w:ind w:firstLine="709"/>
        <w:jc w:val="both"/>
        <w:rPr>
          <w:sz w:val="27"/>
          <w:szCs w:val="27"/>
        </w:rPr>
      </w:pPr>
      <w:r w:rsidRPr="00937466">
        <w:rPr>
          <w:sz w:val="27"/>
          <w:szCs w:val="27"/>
        </w:rPr>
        <w:t xml:space="preserve">Державна регуляторна політика у сфері господарської діяльності </w:t>
      </w:r>
      <w:r w:rsidR="00221314" w:rsidRPr="00937466">
        <w:rPr>
          <w:sz w:val="27"/>
          <w:szCs w:val="27"/>
        </w:rPr>
        <w:t xml:space="preserve">у Чернівецькій області </w:t>
      </w:r>
      <w:r w:rsidR="003B7750">
        <w:rPr>
          <w:sz w:val="27"/>
          <w:szCs w:val="27"/>
        </w:rPr>
        <w:t>впродовж 2019</w:t>
      </w:r>
      <w:r w:rsidRPr="00937466">
        <w:rPr>
          <w:sz w:val="27"/>
          <w:szCs w:val="27"/>
        </w:rPr>
        <w:t xml:space="preserve"> року здійснювалась у відповідності до вимог Закону України від 11.09.2003 №1160-</w:t>
      </w:r>
      <w:r w:rsidRPr="00937466">
        <w:rPr>
          <w:sz w:val="27"/>
          <w:szCs w:val="27"/>
          <w:lang w:val="en-US"/>
        </w:rPr>
        <w:t>IV</w:t>
      </w:r>
      <w:r w:rsidRPr="00937466">
        <w:rPr>
          <w:sz w:val="27"/>
          <w:szCs w:val="27"/>
        </w:rPr>
        <w:t xml:space="preserve"> </w:t>
      </w:r>
      <w:r w:rsidR="00221314" w:rsidRPr="00937466">
        <w:rPr>
          <w:sz w:val="27"/>
          <w:szCs w:val="27"/>
        </w:rPr>
        <w:t>«</w:t>
      </w:r>
      <w:r w:rsidRPr="00937466">
        <w:rPr>
          <w:sz w:val="27"/>
          <w:szCs w:val="27"/>
        </w:rPr>
        <w:t>Про засади державної регуляторної політики у сфері господарської діяльності</w:t>
      </w:r>
      <w:r w:rsidR="00221314" w:rsidRPr="00937466">
        <w:rPr>
          <w:sz w:val="27"/>
          <w:szCs w:val="27"/>
        </w:rPr>
        <w:t>»</w:t>
      </w:r>
      <w:r w:rsidRPr="00937466">
        <w:rPr>
          <w:sz w:val="27"/>
          <w:szCs w:val="27"/>
        </w:rPr>
        <w:t xml:space="preserve"> (далі – Закон), зокрема в частині підготовки, прийняття, відстеження результативності та перегляду регуляторних актів і висвітлення цих питань в засобах масової інформації, а та</w:t>
      </w:r>
      <w:r w:rsidR="00221314" w:rsidRPr="00937466">
        <w:rPr>
          <w:sz w:val="27"/>
          <w:szCs w:val="27"/>
        </w:rPr>
        <w:t xml:space="preserve">кож </w:t>
      </w:r>
      <w:r w:rsidRPr="00937466">
        <w:rPr>
          <w:sz w:val="27"/>
          <w:szCs w:val="27"/>
        </w:rPr>
        <w:t xml:space="preserve">заходів з реалізації державної регуляторної політики, визначених </w:t>
      </w:r>
      <w:r w:rsidR="003B7750">
        <w:rPr>
          <w:bCs/>
          <w:sz w:val="27"/>
          <w:szCs w:val="27"/>
        </w:rPr>
        <w:t>Комплексною програмою</w:t>
      </w:r>
      <w:r w:rsidR="003B7750" w:rsidRPr="003B7750">
        <w:rPr>
          <w:bCs/>
          <w:sz w:val="27"/>
          <w:szCs w:val="27"/>
        </w:rPr>
        <w:t xml:space="preserve"> розвитку малого та середнього підприємництва у Чернівецькій області на 2019-2020 роки</w:t>
      </w:r>
      <w:r w:rsidRPr="003B7750">
        <w:rPr>
          <w:sz w:val="27"/>
          <w:szCs w:val="27"/>
        </w:rPr>
        <w:t>,</w:t>
      </w:r>
      <w:r w:rsidRPr="00937466">
        <w:rPr>
          <w:sz w:val="27"/>
          <w:szCs w:val="27"/>
        </w:rPr>
        <w:t xml:space="preserve"> затвердженою </w:t>
      </w:r>
      <w:r w:rsidR="003B7750" w:rsidRPr="003B7750">
        <w:rPr>
          <w:sz w:val="27"/>
          <w:szCs w:val="27"/>
        </w:rPr>
        <w:t xml:space="preserve">рішенням </w:t>
      </w:r>
      <w:r w:rsidR="003B7750" w:rsidRPr="003B7750">
        <w:rPr>
          <w:sz w:val="27"/>
          <w:szCs w:val="27"/>
          <w:lang w:val="en-US"/>
        </w:rPr>
        <w:t>X</w:t>
      </w:r>
      <w:r w:rsidR="003B7750" w:rsidRPr="003B7750">
        <w:rPr>
          <w:sz w:val="27"/>
          <w:szCs w:val="27"/>
        </w:rPr>
        <w:t>Х</w:t>
      </w:r>
      <w:r w:rsidR="003B7750" w:rsidRPr="003B7750">
        <w:rPr>
          <w:sz w:val="27"/>
          <w:szCs w:val="27"/>
          <w:lang w:val="en-US"/>
        </w:rPr>
        <w:t>VI</w:t>
      </w:r>
      <w:r w:rsidR="003B7750" w:rsidRPr="003B7750">
        <w:rPr>
          <w:sz w:val="27"/>
          <w:szCs w:val="27"/>
        </w:rPr>
        <w:t>І</w:t>
      </w:r>
      <w:r w:rsidR="003B7750" w:rsidRPr="003B7750">
        <w:rPr>
          <w:sz w:val="27"/>
          <w:szCs w:val="27"/>
          <w:lang w:val="en-US"/>
        </w:rPr>
        <w:t>I</w:t>
      </w:r>
      <w:r w:rsidR="003B7750" w:rsidRPr="003B7750">
        <w:rPr>
          <w:sz w:val="27"/>
          <w:szCs w:val="27"/>
        </w:rPr>
        <w:t xml:space="preserve"> сесії обласної ради </w:t>
      </w:r>
      <w:r w:rsidR="003B7750" w:rsidRPr="003B7750">
        <w:rPr>
          <w:sz w:val="27"/>
          <w:szCs w:val="27"/>
          <w:lang w:val="en-US"/>
        </w:rPr>
        <w:t>VII</w:t>
      </w:r>
      <w:r w:rsidR="003B7750">
        <w:rPr>
          <w:sz w:val="27"/>
          <w:szCs w:val="27"/>
        </w:rPr>
        <w:t xml:space="preserve"> скликання від 18.12.2018 </w:t>
      </w:r>
      <w:r w:rsidR="003B7750" w:rsidRPr="003B7750">
        <w:rPr>
          <w:sz w:val="27"/>
          <w:szCs w:val="27"/>
        </w:rPr>
        <w:t xml:space="preserve"> № 207-28/18 </w:t>
      </w:r>
      <w:r w:rsidR="0014724E" w:rsidRPr="00937466">
        <w:rPr>
          <w:sz w:val="27"/>
          <w:szCs w:val="27"/>
        </w:rPr>
        <w:t>(із змінами</w:t>
      </w:r>
      <w:r w:rsidR="00D530C4" w:rsidRPr="00937466">
        <w:rPr>
          <w:sz w:val="27"/>
          <w:szCs w:val="27"/>
        </w:rPr>
        <w:t>)</w:t>
      </w:r>
      <w:r w:rsidRPr="00937466">
        <w:rPr>
          <w:sz w:val="27"/>
          <w:szCs w:val="27"/>
        </w:rPr>
        <w:t xml:space="preserve">. </w:t>
      </w:r>
    </w:p>
    <w:p w:rsidR="00B50386" w:rsidRPr="00937466" w:rsidRDefault="00B50386" w:rsidP="00B50386">
      <w:pPr>
        <w:ind w:firstLine="709"/>
        <w:jc w:val="both"/>
        <w:rPr>
          <w:sz w:val="27"/>
          <w:szCs w:val="27"/>
        </w:rPr>
      </w:pPr>
      <w:r w:rsidRPr="00937466">
        <w:rPr>
          <w:sz w:val="27"/>
          <w:szCs w:val="27"/>
        </w:rPr>
        <w:t>Робота регуляторних органів області спрямовувалась на:</w:t>
      </w:r>
    </w:p>
    <w:p w:rsidR="00B50386" w:rsidRPr="00937466" w:rsidRDefault="00B50386" w:rsidP="00B50386">
      <w:pPr>
        <w:ind w:firstLine="709"/>
        <w:jc w:val="both"/>
        <w:rPr>
          <w:sz w:val="27"/>
          <w:szCs w:val="27"/>
        </w:rPr>
      </w:pPr>
      <w:r w:rsidRPr="00937466">
        <w:rPr>
          <w:sz w:val="27"/>
          <w:szCs w:val="27"/>
        </w:rPr>
        <w:t>безумовне дотримання вимог Закону та постанови Кабінету Міністр</w:t>
      </w:r>
      <w:r w:rsidR="00221314" w:rsidRPr="00937466">
        <w:rPr>
          <w:sz w:val="27"/>
          <w:szCs w:val="27"/>
        </w:rPr>
        <w:t>ів України від 11.03.2004 №308 «</w:t>
      </w:r>
      <w:r w:rsidRPr="00937466">
        <w:rPr>
          <w:sz w:val="27"/>
          <w:szCs w:val="27"/>
        </w:rPr>
        <w:t>Про затвердження методик проведення аналізу та відстеження результативності регуляторного акта</w:t>
      </w:r>
      <w:r w:rsidR="00221314" w:rsidRPr="00937466">
        <w:rPr>
          <w:sz w:val="27"/>
          <w:szCs w:val="27"/>
        </w:rPr>
        <w:t>»</w:t>
      </w:r>
      <w:r w:rsidRPr="00937466">
        <w:rPr>
          <w:sz w:val="27"/>
          <w:szCs w:val="27"/>
        </w:rPr>
        <w:t xml:space="preserve"> (із змінами від 16.12.2015 №1151) (далі – Постанова), пов’язаних з підготовкою, прийняттям та відстеженням результативності регуляторних актів;</w:t>
      </w:r>
    </w:p>
    <w:p w:rsidR="00B50386" w:rsidRPr="00937466" w:rsidRDefault="00B50386" w:rsidP="00B50386">
      <w:pPr>
        <w:ind w:firstLine="709"/>
        <w:jc w:val="both"/>
        <w:rPr>
          <w:sz w:val="27"/>
          <w:szCs w:val="27"/>
        </w:rPr>
      </w:pPr>
      <w:r w:rsidRPr="00937466">
        <w:rPr>
          <w:sz w:val="27"/>
          <w:szCs w:val="27"/>
        </w:rPr>
        <w:t>дотримання єдиного системного підходу до впровадження регуляторної діяльності;</w:t>
      </w:r>
    </w:p>
    <w:p w:rsidR="00B50386" w:rsidRPr="00937466" w:rsidRDefault="00B50386" w:rsidP="00B50386">
      <w:pPr>
        <w:ind w:firstLine="709"/>
        <w:jc w:val="both"/>
        <w:rPr>
          <w:sz w:val="27"/>
          <w:szCs w:val="27"/>
        </w:rPr>
      </w:pPr>
      <w:r w:rsidRPr="00937466">
        <w:rPr>
          <w:sz w:val="27"/>
          <w:szCs w:val="27"/>
        </w:rPr>
        <w:t xml:space="preserve">підвищення якості підготовки аналізів регуляторного </w:t>
      </w:r>
      <w:r w:rsidR="00C76047">
        <w:rPr>
          <w:sz w:val="27"/>
          <w:szCs w:val="27"/>
        </w:rPr>
        <w:t>впливу разом з Тестом малого підприємництва (М-Тест)</w:t>
      </w:r>
      <w:r w:rsidRPr="00937466">
        <w:rPr>
          <w:sz w:val="27"/>
          <w:szCs w:val="27"/>
        </w:rPr>
        <w:t xml:space="preserve"> та звітів з відстеження результативності регуляторних актів;</w:t>
      </w:r>
    </w:p>
    <w:p w:rsidR="00B50386" w:rsidRPr="00937466" w:rsidRDefault="00B50386" w:rsidP="00B50386">
      <w:pPr>
        <w:ind w:firstLine="709"/>
        <w:jc w:val="both"/>
        <w:rPr>
          <w:sz w:val="27"/>
          <w:szCs w:val="27"/>
        </w:rPr>
      </w:pPr>
      <w:r w:rsidRPr="00937466">
        <w:rPr>
          <w:sz w:val="27"/>
          <w:szCs w:val="27"/>
        </w:rPr>
        <w:t>забезпечення інформаційної відкритості з питань державної регуляторної політики;</w:t>
      </w:r>
    </w:p>
    <w:p w:rsidR="00B50386" w:rsidRPr="00937466" w:rsidRDefault="00B50386" w:rsidP="00B50386">
      <w:pPr>
        <w:ind w:firstLine="709"/>
        <w:jc w:val="both"/>
        <w:rPr>
          <w:sz w:val="27"/>
          <w:szCs w:val="27"/>
        </w:rPr>
      </w:pPr>
      <w:r w:rsidRPr="00937466">
        <w:rPr>
          <w:sz w:val="27"/>
          <w:szCs w:val="27"/>
        </w:rPr>
        <w:t>залучення г</w:t>
      </w:r>
      <w:r w:rsidR="003B7750">
        <w:rPr>
          <w:sz w:val="27"/>
          <w:szCs w:val="27"/>
        </w:rPr>
        <w:t>ромадськості до обговорення проє</w:t>
      </w:r>
      <w:r w:rsidRPr="00937466">
        <w:rPr>
          <w:sz w:val="27"/>
          <w:szCs w:val="27"/>
        </w:rPr>
        <w:t>ктів регуляторних актів.</w:t>
      </w:r>
    </w:p>
    <w:p w:rsidR="00B50386" w:rsidRPr="00937466" w:rsidRDefault="003B7750" w:rsidP="00B50386">
      <w:pPr>
        <w:ind w:firstLine="709"/>
        <w:jc w:val="both"/>
        <w:rPr>
          <w:sz w:val="27"/>
          <w:szCs w:val="27"/>
        </w:rPr>
      </w:pPr>
      <w:r>
        <w:rPr>
          <w:sz w:val="27"/>
          <w:szCs w:val="27"/>
        </w:rPr>
        <w:t>Впродовж 2019</w:t>
      </w:r>
      <w:r w:rsidR="00B50386" w:rsidRPr="00937466">
        <w:rPr>
          <w:sz w:val="27"/>
          <w:szCs w:val="27"/>
        </w:rPr>
        <w:t xml:space="preserve"> року регуляторними органами області постійно зосереджувалась увага на обов’язковості визначення:</w:t>
      </w:r>
    </w:p>
    <w:p w:rsidR="00B50386" w:rsidRPr="00937466" w:rsidRDefault="00B50386" w:rsidP="00B50386">
      <w:pPr>
        <w:ind w:firstLine="709"/>
        <w:jc w:val="both"/>
        <w:rPr>
          <w:sz w:val="27"/>
          <w:szCs w:val="27"/>
        </w:rPr>
      </w:pPr>
      <w:r w:rsidRPr="00937466">
        <w:rPr>
          <w:sz w:val="27"/>
          <w:szCs w:val="27"/>
        </w:rPr>
        <w:t>оцінки прийнятих альтернативних способів досягнення цілей державного регулювання, у тому числі тих, що не передбачають безпосередньо державного регулювання господарських відносин;</w:t>
      </w:r>
    </w:p>
    <w:p w:rsidR="00B50386" w:rsidRPr="00937466" w:rsidRDefault="00B50386" w:rsidP="00B50386">
      <w:pPr>
        <w:ind w:firstLine="709"/>
        <w:jc w:val="both"/>
        <w:rPr>
          <w:sz w:val="27"/>
          <w:szCs w:val="27"/>
        </w:rPr>
      </w:pPr>
      <w:r w:rsidRPr="00937466">
        <w:rPr>
          <w:sz w:val="27"/>
          <w:szCs w:val="27"/>
        </w:rPr>
        <w:t>механізмів і заходів щодо розв’язання проблем шляхом прийняття регуляторного акта;</w:t>
      </w:r>
    </w:p>
    <w:p w:rsidR="00B50386" w:rsidRPr="00937466" w:rsidRDefault="00B50386" w:rsidP="00B50386">
      <w:pPr>
        <w:ind w:firstLine="709"/>
        <w:jc w:val="both"/>
        <w:rPr>
          <w:sz w:val="27"/>
          <w:szCs w:val="27"/>
        </w:rPr>
      </w:pPr>
      <w:r w:rsidRPr="00937466">
        <w:rPr>
          <w:sz w:val="27"/>
          <w:szCs w:val="27"/>
        </w:rPr>
        <w:t>показників результативності регуляторного акта;</w:t>
      </w:r>
    </w:p>
    <w:p w:rsidR="00B50386" w:rsidRPr="00937466" w:rsidRDefault="00B50386" w:rsidP="00B50386">
      <w:pPr>
        <w:ind w:firstLine="709"/>
        <w:jc w:val="both"/>
        <w:rPr>
          <w:sz w:val="27"/>
          <w:szCs w:val="27"/>
        </w:rPr>
      </w:pPr>
      <w:r w:rsidRPr="00937466">
        <w:rPr>
          <w:sz w:val="27"/>
          <w:szCs w:val="27"/>
        </w:rPr>
        <w:t>заходів, за допомогою яких буде здійснюватися відстеження результативності регуляторного акта.</w:t>
      </w:r>
    </w:p>
    <w:p w:rsidR="00B50386" w:rsidRPr="00937466" w:rsidRDefault="00B50386" w:rsidP="00B50386">
      <w:pPr>
        <w:ind w:firstLine="709"/>
        <w:jc w:val="both"/>
        <w:rPr>
          <w:sz w:val="27"/>
          <w:szCs w:val="27"/>
        </w:rPr>
      </w:pPr>
      <w:r w:rsidRPr="00937466">
        <w:rPr>
          <w:sz w:val="27"/>
          <w:szCs w:val="27"/>
        </w:rPr>
        <w:t>В області налагоджена прозора систе</w:t>
      </w:r>
      <w:r w:rsidR="003B7750">
        <w:rPr>
          <w:sz w:val="27"/>
          <w:szCs w:val="27"/>
        </w:rPr>
        <w:t>ма планування та підготовки проє</w:t>
      </w:r>
      <w:r w:rsidRPr="00937466">
        <w:rPr>
          <w:sz w:val="27"/>
          <w:szCs w:val="27"/>
        </w:rPr>
        <w:t>ктів регуляторних актів.</w:t>
      </w:r>
    </w:p>
    <w:p w:rsidR="00B50386" w:rsidRPr="004B7572" w:rsidRDefault="003B7750" w:rsidP="00B50386">
      <w:pPr>
        <w:ind w:firstLine="709"/>
        <w:jc w:val="both"/>
        <w:rPr>
          <w:sz w:val="27"/>
          <w:szCs w:val="27"/>
        </w:rPr>
      </w:pPr>
      <w:r>
        <w:rPr>
          <w:sz w:val="27"/>
          <w:szCs w:val="27"/>
        </w:rPr>
        <w:t>Розробка проє</w:t>
      </w:r>
      <w:r w:rsidR="00B50386" w:rsidRPr="00937466">
        <w:rPr>
          <w:sz w:val="27"/>
          <w:szCs w:val="27"/>
        </w:rPr>
        <w:t>ктів регуляторних актів та складання аналізу їх впливу розробниками регуляторних актів Чернівецької області проводиться з дотриманням вимог статей 7, 8, 9, 10 Закону та вищезазначеної постанови Кабінету Міністрів України.</w:t>
      </w:r>
    </w:p>
    <w:p w:rsidR="00040759" w:rsidRPr="00040759" w:rsidRDefault="00B50386" w:rsidP="00040759">
      <w:pPr>
        <w:ind w:firstLine="709"/>
        <w:jc w:val="both"/>
        <w:rPr>
          <w:bCs/>
          <w:sz w:val="27"/>
          <w:szCs w:val="27"/>
          <w:lang w:eastAsia="ru-RU"/>
        </w:rPr>
      </w:pPr>
      <w:r w:rsidRPr="00040759">
        <w:rPr>
          <w:sz w:val="27"/>
          <w:szCs w:val="27"/>
        </w:rPr>
        <w:t>Відповідно до статті 7 Закону, План діяль</w:t>
      </w:r>
      <w:r w:rsidR="003B7750" w:rsidRPr="00040759">
        <w:rPr>
          <w:sz w:val="27"/>
          <w:szCs w:val="27"/>
        </w:rPr>
        <w:t>ності з підготовки проє</w:t>
      </w:r>
      <w:r w:rsidRPr="00040759">
        <w:rPr>
          <w:sz w:val="27"/>
          <w:szCs w:val="27"/>
        </w:rPr>
        <w:t>ктів регуляторних актів обласної державної адміністрації на 201</w:t>
      </w:r>
      <w:r w:rsidR="003B7750" w:rsidRPr="00040759">
        <w:rPr>
          <w:sz w:val="27"/>
          <w:szCs w:val="27"/>
        </w:rPr>
        <w:t>9</w:t>
      </w:r>
      <w:r w:rsidRPr="00040759">
        <w:rPr>
          <w:sz w:val="27"/>
          <w:szCs w:val="27"/>
        </w:rPr>
        <w:t xml:space="preserve"> рік </w:t>
      </w:r>
      <w:r w:rsidR="006F7387" w:rsidRPr="00040759">
        <w:rPr>
          <w:sz w:val="27"/>
          <w:szCs w:val="27"/>
        </w:rPr>
        <w:t xml:space="preserve">затверджено </w:t>
      </w:r>
      <w:r w:rsidR="00040759" w:rsidRPr="00040759">
        <w:rPr>
          <w:bCs/>
          <w:sz w:val="27"/>
          <w:szCs w:val="27"/>
          <w:lang w:eastAsia="ru-RU"/>
        </w:rPr>
        <w:t xml:space="preserve">14.12.2018 </w:t>
      </w:r>
      <w:r w:rsidR="00040759" w:rsidRPr="00040759">
        <w:rPr>
          <w:sz w:val="27"/>
          <w:szCs w:val="27"/>
          <w:shd w:val="clear" w:color="auto" w:fill="FFFFFF"/>
        </w:rPr>
        <w:t>т</w:t>
      </w:r>
      <w:r w:rsidR="00040759">
        <w:rPr>
          <w:sz w:val="27"/>
          <w:szCs w:val="27"/>
          <w:shd w:val="clear" w:color="auto" w:fill="FFFFFF"/>
        </w:rPr>
        <w:t>а оприлюднено на офіційному веб</w:t>
      </w:r>
      <w:r w:rsidR="00040759" w:rsidRPr="00040759">
        <w:rPr>
          <w:sz w:val="27"/>
          <w:szCs w:val="27"/>
          <w:shd w:val="clear" w:color="auto" w:fill="FFFFFF"/>
        </w:rPr>
        <w:t xml:space="preserve">сайті обласної державної </w:t>
      </w:r>
      <w:r w:rsidR="00040759" w:rsidRPr="00040759">
        <w:rPr>
          <w:sz w:val="27"/>
          <w:szCs w:val="27"/>
          <w:shd w:val="clear" w:color="auto" w:fill="FFFFFF"/>
        </w:rPr>
        <w:lastRenderedPageBreak/>
        <w:t xml:space="preserve">адміністрації: </w:t>
      </w:r>
      <w:hyperlink r:id="rId7" w:tgtFrame="_blank" w:history="1">
        <w:r w:rsidR="00040759" w:rsidRPr="00040759">
          <w:rPr>
            <w:rStyle w:val="a5"/>
            <w:color w:val="auto"/>
            <w:sz w:val="27"/>
            <w:szCs w:val="27"/>
            <w:shd w:val="clear" w:color="auto" w:fill="FFFFFF"/>
          </w:rPr>
          <w:t>www.bukoda.gov.ua</w:t>
        </w:r>
      </w:hyperlink>
      <w:r w:rsidR="00040759" w:rsidRPr="00040759">
        <w:rPr>
          <w:sz w:val="27"/>
          <w:szCs w:val="27"/>
          <w:shd w:val="clear" w:color="auto" w:fill="FFFFFF"/>
        </w:rPr>
        <w:t>,</w:t>
      </w:r>
      <w:r w:rsidR="00040759" w:rsidRPr="00040759">
        <w:rPr>
          <w:bCs/>
          <w:sz w:val="27"/>
          <w:szCs w:val="27"/>
          <w:lang w:eastAsia="ru-RU"/>
        </w:rPr>
        <w:t xml:space="preserve"> а також 21.12.2018 опубліковано в газеті «Молодий буковинець» (№ 102). </w:t>
      </w:r>
    </w:p>
    <w:p w:rsidR="00040759" w:rsidRDefault="00040759" w:rsidP="00B50386">
      <w:pPr>
        <w:ind w:firstLine="709"/>
        <w:jc w:val="both"/>
        <w:rPr>
          <w:sz w:val="27"/>
          <w:szCs w:val="27"/>
        </w:rPr>
      </w:pPr>
      <w:r w:rsidRPr="00040759">
        <w:rPr>
          <w:bCs/>
          <w:sz w:val="27"/>
          <w:szCs w:val="27"/>
        </w:rPr>
        <w:t>Протягом 2019 року двічі вносились зміни</w:t>
      </w:r>
      <w:r w:rsidRPr="00040759">
        <w:rPr>
          <w:sz w:val="27"/>
          <w:szCs w:val="27"/>
        </w:rPr>
        <w:t xml:space="preserve"> до Плану (05.02.2019 та 25.02.2019).</w:t>
      </w:r>
    </w:p>
    <w:p w:rsidR="00040759" w:rsidRPr="00040759" w:rsidRDefault="00040759" w:rsidP="00040759">
      <w:pPr>
        <w:ind w:firstLine="709"/>
        <w:jc w:val="both"/>
        <w:rPr>
          <w:bCs/>
          <w:sz w:val="27"/>
          <w:szCs w:val="27"/>
        </w:rPr>
      </w:pPr>
      <w:r>
        <w:rPr>
          <w:bCs/>
          <w:sz w:val="27"/>
          <w:szCs w:val="27"/>
        </w:rPr>
        <w:t>Затверджений План передбачав</w:t>
      </w:r>
      <w:r w:rsidRPr="00040759">
        <w:rPr>
          <w:bCs/>
          <w:sz w:val="27"/>
          <w:szCs w:val="27"/>
        </w:rPr>
        <w:t xml:space="preserve"> підготовку 2 регуляторних актів (розпорядження обласної державної адміністрації «Про затвердження Порядку надання дозволів на розміщення зовнішньої реклами поза межами населених пунктів Чернівецької області» та розпорядження обласної державної адміністрації «</w:t>
      </w:r>
      <w:r w:rsidRPr="00040759">
        <w:rPr>
          <w:sz w:val="27"/>
          <w:szCs w:val="27"/>
        </w:rPr>
        <w:t>Про затвердження Умов конкурсу з перевезення пасажирів на міжміських та приміських автобусних маршрутах загального користування, що не виходять за межі території Чернівецької області»</w:t>
      </w:r>
      <w:r w:rsidRPr="00040759">
        <w:rPr>
          <w:bCs/>
          <w:sz w:val="27"/>
          <w:szCs w:val="27"/>
        </w:rPr>
        <w:t>).</w:t>
      </w:r>
    </w:p>
    <w:p w:rsidR="00466442" w:rsidRPr="00937466" w:rsidRDefault="00466442" w:rsidP="00466442">
      <w:pPr>
        <w:ind w:firstLine="709"/>
        <w:jc w:val="both"/>
        <w:rPr>
          <w:sz w:val="27"/>
          <w:szCs w:val="27"/>
        </w:rPr>
      </w:pPr>
      <w:r>
        <w:rPr>
          <w:sz w:val="27"/>
          <w:szCs w:val="27"/>
        </w:rPr>
        <w:t>Відповідно</w:t>
      </w:r>
      <w:r w:rsidR="00851D7A">
        <w:rPr>
          <w:sz w:val="27"/>
          <w:szCs w:val="27"/>
        </w:rPr>
        <w:t>,</w:t>
      </w:r>
      <w:r>
        <w:rPr>
          <w:sz w:val="27"/>
          <w:szCs w:val="27"/>
        </w:rPr>
        <w:t xml:space="preserve"> р</w:t>
      </w:r>
      <w:r w:rsidRPr="00937466">
        <w:rPr>
          <w:sz w:val="27"/>
          <w:szCs w:val="27"/>
        </w:rPr>
        <w:t>айонними державн</w:t>
      </w:r>
      <w:r w:rsidR="00040759">
        <w:rPr>
          <w:sz w:val="27"/>
          <w:szCs w:val="27"/>
        </w:rPr>
        <w:t xml:space="preserve">ими адміністраціями, </w:t>
      </w:r>
      <w:r w:rsidR="00FB07B9">
        <w:rPr>
          <w:sz w:val="27"/>
          <w:szCs w:val="27"/>
        </w:rPr>
        <w:t>Чернівецькою</w:t>
      </w:r>
      <w:r w:rsidRPr="00937466">
        <w:rPr>
          <w:sz w:val="27"/>
          <w:szCs w:val="27"/>
        </w:rPr>
        <w:t xml:space="preserve"> та Новодністровськ</w:t>
      </w:r>
      <w:r w:rsidR="00FB07B9">
        <w:rPr>
          <w:sz w:val="27"/>
          <w:szCs w:val="27"/>
        </w:rPr>
        <w:t>ою міськими</w:t>
      </w:r>
      <w:r>
        <w:rPr>
          <w:sz w:val="27"/>
          <w:szCs w:val="27"/>
        </w:rPr>
        <w:t xml:space="preserve"> рад</w:t>
      </w:r>
      <w:r w:rsidR="00FB07B9">
        <w:rPr>
          <w:sz w:val="27"/>
          <w:szCs w:val="27"/>
        </w:rPr>
        <w:t>ами</w:t>
      </w:r>
      <w:r w:rsidR="00FB07B9" w:rsidRPr="00FB07B9">
        <w:rPr>
          <w:sz w:val="27"/>
          <w:szCs w:val="27"/>
        </w:rPr>
        <w:t xml:space="preserve"> </w:t>
      </w:r>
      <w:r w:rsidR="00FB07B9">
        <w:rPr>
          <w:sz w:val="27"/>
          <w:szCs w:val="27"/>
        </w:rPr>
        <w:t>та їх виконавчими органами до 15 грудня 2018</w:t>
      </w:r>
      <w:r w:rsidRPr="00937466">
        <w:rPr>
          <w:sz w:val="27"/>
          <w:szCs w:val="27"/>
        </w:rPr>
        <w:t xml:space="preserve"> року затверджено та оприлюднено власні Пл</w:t>
      </w:r>
      <w:r w:rsidR="00FB07B9">
        <w:rPr>
          <w:sz w:val="27"/>
          <w:szCs w:val="27"/>
        </w:rPr>
        <w:t>ани діяльності з підготовки проє</w:t>
      </w:r>
      <w:r w:rsidRPr="00937466">
        <w:rPr>
          <w:sz w:val="27"/>
          <w:szCs w:val="27"/>
        </w:rPr>
        <w:t>ктів</w:t>
      </w:r>
      <w:r w:rsidR="00FB07B9">
        <w:rPr>
          <w:sz w:val="27"/>
          <w:szCs w:val="27"/>
        </w:rPr>
        <w:t xml:space="preserve"> регуляторних актів на 2019</w:t>
      </w:r>
      <w:r w:rsidRPr="00937466">
        <w:rPr>
          <w:sz w:val="27"/>
          <w:szCs w:val="27"/>
        </w:rPr>
        <w:t xml:space="preserve"> рік. </w:t>
      </w:r>
    </w:p>
    <w:p w:rsidR="00FB07B9" w:rsidRPr="00FB07B9" w:rsidRDefault="00FB07B9" w:rsidP="00FB07B9">
      <w:pPr>
        <w:ind w:firstLine="709"/>
        <w:jc w:val="both"/>
        <w:rPr>
          <w:sz w:val="27"/>
          <w:szCs w:val="27"/>
          <w:lang w:eastAsia="ru-RU"/>
        </w:rPr>
      </w:pPr>
      <w:r w:rsidRPr="00FB07B9">
        <w:rPr>
          <w:sz w:val="27"/>
          <w:szCs w:val="27"/>
          <w:lang w:eastAsia="ru-RU"/>
        </w:rPr>
        <w:t xml:space="preserve">Протягом </w:t>
      </w:r>
      <w:r w:rsidR="00851D7A">
        <w:rPr>
          <w:sz w:val="27"/>
          <w:szCs w:val="27"/>
          <w:lang w:eastAsia="ru-RU"/>
        </w:rPr>
        <w:t>2019 року</w:t>
      </w:r>
      <w:r w:rsidRPr="00FB07B9">
        <w:rPr>
          <w:sz w:val="27"/>
          <w:szCs w:val="27"/>
          <w:lang w:eastAsia="ru-RU"/>
        </w:rPr>
        <w:t xml:space="preserve"> прийнято 7 регуляторних актів, з них 2 - обласної державної адміністрації, 2 - Чернівецької міської ради, 2 - районних державних адміністрацій та 1 -  Новодністровської ОТГ.</w:t>
      </w:r>
    </w:p>
    <w:p w:rsidR="006C78A7" w:rsidRPr="00507BCD" w:rsidRDefault="00FB6A00" w:rsidP="00507BCD">
      <w:pPr>
        <w:ind w:firstLine="709"/>
        <w:jc w:val="both"/>
        <w:rPr>
          <w:bCs/>
          <w:sz w:val="27"/>
          <w:szCs w:val="27"/>
          <w:lang w:eastAsia="ru-RU"/>
        </w:rPr>
      </w:pPr>
      <w:r>
        <w:rPr>
          <w:sz w:val="27"/>
          <w:szCs w:val="27"/>
        </w:rPr>
        <w:t>12 грудня 2019</w:t>
      </w:r>
      <w:r w:rsidRPr="00C41756">
        <w:rPr>
          <w:sz w:val="27"/>
          <w:szCs w:val="27"/>
        </w:rPr>
        <w:t xml:space="preserve"> року </w:t>
      </w:r>
      <w:r w:rsidR="00A2411D" w:rsidRPr="00A2411D">
        <w:rPr>
          <w:bCs/>
          <w:sz w:val="27"/>
          <w:szCs w:val="27"/>
          <w:lang w:eastAsia="ru-RU"/>
        </w:rPr>
        <w:t>затверджено П</w:t>
      </w:r>
      <w:r>
        <w:rPr>
          <w:bCs/>
          <w:sz w:val="27"/>
          <w:szCs w:val="27"/>
          <w:lang w:eastAsia="ru-RU"/>
        </w:rPr>
        <w:t>лан діяльності з підготовки проє</w:t>
      </w:r>
      <w:r w:rsidR="00A2411D" w:rsidRPr="00A2411D">
        <w:rPr>
          <w:bCs/>
          <w:sz w:val="27"/>
          <w:szCs w:val="27"/>
          <w:lang w:eastAsia="ru-RU"/>
        </w:rPr>
        <w:t>ктів регуляторних актів Чернівецької обласної держа</w:t>
      </w:r>
      <w:r>
        <w:rPr>
          <w:bCs/>
          <w:sz w:val="27"/>
          <w:szCs w:val="27"/>
          <w:lang w:eastAsia="ru-RU"/>
        </w:rPr>
        <w:t>вної адміністрації на 2020</w:t>
      </w:r>
      <w:r w:rsidR="00A2411D" w:rsidRPr="00A2411D">
        <w:rPr>
          <w:bCs/>
          <w:sz w:val="27"/>
          <w:szCs w:val="27"/>
          <w:lang w:eastAsia="ru-RU"/>
        </w:rPr>
        <w:t xml:space="preserve"> рік та </w:t>
      </w:r>
      <w:r w:rsidRPr="00FB6A00">
        <w:rPr>
          <w:bCs/>
          <w:sz w:val="27"/>
          <w:szCs w:val="27"/>
          <w:lang w:eastAsia="ru-RU"/>
        </w:rPr>
        <w:t xml:space="preserve"> 13 грудня 2019 року оприлюднено на офіційному вебсайті обласної державної адміністрації у розділі «Діяльність обласної державної адміністрації», підрозділі</w:t>
      </w:r>
      <w:r>
        <w:rPr>
          <w:bCs/>
          <w:sz w:val="27"/>
          <w:szCs w:val="27"/>
          <w:lang w:eastAsia="ru-RU"/>
        </w:rPr>
        <w:t xml:space="preserve">  «Регуляторна діяльність», </w:t>
      </w:r>
      <w:r w:rsidRPr="00FB6A00">
        <w:rPr>
          <w:bCs/>
          <w:sz w:val="27"/>
          <w:szCs w:val="27"/>
          <w:lang w:eastAsia="ru-RU"/>
        </w:rPr>
        <w:t>рубриці «План підготовки регуляторних актів»,</w:t>
      </w:r>
      <w:r>
        <w:rPr>
          <w:bCs/>
          <w:sz w:val="27"/>
          <w:szCs w:val="27"/>
          <w:lang w:eastAsia="ru-RU"/>
        </w:rPr>
        <w:t xml:space="preserve"> </w:t>
      </w:r>
      <w:r w:rsidRPr="00FB6A00">
        <w:rPr>
          <w:bCs/>
          <w:sz w:val="27"/>
          <w:szCs w:val="27"/>
          <w:lang w:eastAsia="ru-RU"/>
        </w:rPr>
        <w:t xml:space="preserve">з яким можна ознайомитися за посиланням: </w:t>
      </w:r>
      <w:hyperlink r:id="rId8" w:history="1">
        <w:r w:rsidRPr="00FB6A00">
          <w:rPr>
            <w:rStyle w:val="a5"/>
            <w:bCs/>
            <w:color w:val="auto"/>
            <w:sz w:val="27"/>
            <w:szCs w:val="27"/>
            <w:lang w:eastAsia="ru-RU"/>
          </w:rPr>
          <w:t>https://bukoda.gov.ua/uploads/editor/bukoda.gov.ua/регуляторна%20діяльність/plan%20regdiyal.pdf</w:t>
        </w:r>
      </w:hyperlink>
      <w:r w:rsidRPr="00FB6A00">
        <w:rPr>
          <w:bCs/>
          <w:sz w:val="27"/>
          <w:szCs w:val="27"/>
          <w:lang w:eastAsia="ru-RU"/>
        </w:rPr>
        <w:t>.</w:t>
      </w:r>
      <w:r w:rsidR="00507BCD">
        <w:rPr>
          <w:bCs/>
          <w:sz w:val="27"/>
          <w:szCs w:val="27"/>
          <w:lang w:eastAsia="ru-RU"/>
        </w:rPr>
        <w:t xml:space="preserve"> </w:t>
      </w:r>
      <w:r w:rsidR="00851D7A">
        <w:rPr>
          <w:bCs/>
          <w:sz w:val="27"/>
          <w:szCs w:val="27"/>
          <w:lang w:eastAsia="ru-RU"/>
        </w:rPr>
        <w:t>Р</w:t>
      </w:r>
      <w:r w:rsidR="00507BCD">
        <w:rPr>
          <w:bCs/>
          <w:sz w:val="27"/>
          <w:szCs w:val="27"/>
          <w:lang w:eastAsia="ru-RU"/>
        </w:rPr>
        <w:t xml:space="preserve">егуляторними органами області також </w:t>
      </w:r>
      <w:r w:rsidR="00507BCD">
        <w:rPr>
          <w:sz w:val="27"/>
          <w:szCs w:val="27"/>
        </w:rPr>
        <w:t>до 15 грудня 2019</w:t>
      </w:r>
      <w:r w:rsidR="006C78A7" w:rsidRPr="00937466">
        <w:rPr>
          <w:sz w:val="27"/>
          <w:szCs w:val="27"/>
        </w:rPr>
        <w:t xml:space="preserve"> року затверджено та оприлюднено власні Пл</w:t>
      </w:r>
      <w:r w:rsidR="00507BCD">
        <w:rPr>
          <w:sz w:val="27"/>
          <w:szCs w:val="27"/>
        </w:rPr>
        <w:t>ани діяльності з підготовки проє</w:t>
      </w:r>
      <w:r w:rsidR="006C78A7" w:rsidRPr="00937466">
        <w:rPr>
          <w:sz w:val="27"/>
          <w:szCs w:val="27"/>
        </w:rPr>
        <w:t>ктів</w:t>
      </w:r>
      <w:r w:rsidR="00507BCD">
        <w:rPr>
          <w:sz w:val="27"/>
          <w:szCs w:val="27"/>
        </w:rPr>
        <w:t xml:space="preserve"> регуляторних актів на 2020</w:t>
      </w:r>
      <w:r w:rsidR="006C78A7" w:rsidRPr="00937466">
        <w:rPr>
          <w:sz w:val="27"/>
          <w:szCs w:val="27"/>
        </w:rPr>
        <w:t xml:space="preserve"> рік. </w:t>
      </w:r>
    </w:p>
    <w:p w:rsidR="006C78A7" w:rsidRPr="002666F4" w:rsidRDefault="006C78A7" w:rsidP="002666F4">
      <w:pPr>
        <w:pStyle w:val="11"/>
        <w:ind w:firstLine="709"/>
        <w:jc w:val="both"/>
        <w:rPr>
          <w:rFonts w:ascii="Times New Roman" w:hAnsi="Times New Roman" w:cs="Times New Roman"/>
          <w:sz w:val="27"/>
          <w:szCs w:val="27"/>
          <w:highlight w:val="yellow"/>
        </w:rPr>
      </w:pPr>
      <w:r w:rsidRPr="00937466">
        <w:rPr>
          <w:rFonts w:ascii="Times New Roman" w:hAnsi="Times New Roman" w:cs="Times New Roman"/>
          <w:sz w:val="27"/>
          <w:szCs w:val="27"/>
        </w:rPr>
        <w:t>Для одержання зауважень і пропозицій від фізичних та юридичних осіб, їх об’єднань, розробники регуляторни</w:t>
      </w:r>
      <w:r w:rsidR="00507BCD">
        <w:rPr>
          <w:rFonts w:ascii="Times New Roman" w:hAnsi="Times New Roman" w:cs="Times New Roman"/>
          <w:sz w:val="27"/>
          <w:szCs w:val="27"/>
        </w:rPr>
        <w:t>х актів постійно розміщують проєкти на  офіційних веб</w:t>
      </w:r>
      <w:r w:rsidR="00851D7A">
        <w:rPr>
          <w:rFonts w:ascii="Times New Roman" w:hAnsi="Times New Roman" w:cs="Times New Roman"/>
          <w:sz w:val="27"/>
          <w:szCs w:val="27"/>
        </w:rPr>
        <w:t>сайтах в мережі Інтернет</w:t>
      </w:r>
      <w:r w:rsidRPr="00937466">
        <w:rPr>
          <w:rFonts w:ascii="Times New Roman" w:hAnsi="Times New Roman" w:cs="Times New Roman"/>
          <w:sz w:val="27"/>
          <w:szCs w:val="27"/>
        </w:rPr>
        <w:t xml:space="preserve"> з відповідними повідомленнями про оприлюднення та аналізом регуляторного впливу.</w:t>
      </w:r>
    </w:p>
    <w:p w:rsidR="000063D2" w:rsidRPr="000063D2" w:rsidRDefault="000063D2" w:rsidP="000063D2">
      <w:pPr>
        <w:ind w:firstLine="709"/>
        <w:jc w:val="both"/>
        <w:rPr>
          <w:bCs/>
          <w:sz w:val="27"/>
          <w:szCs w:val="27"/>
          <w:lang w:eastAsia="ru-RU"/>
        </w:rPr>
      </w:pPr>
      <w:r>
        <w:rPr>
          <w:bCs/>
          <w:sz w:val="27"/>
          <w:szCs w:val="27"/>
          <w:lang w:eastAsia="ru-RU"/>
        </w:rPr>
        <w:t>Станом на 01.01.2020</w:t>
      </w:r>
      <w:r w:rsidR="004A4D5C" w:rsidRPr="004A4D5C">
        <w:rPr>
          <w:bCs/>
          <w:sz w:val="27"/>
          <w:szCs w:val="27"/>
          <w:lang w:eastAsia="ru-RU"/>
        </w:rPr>
        <w:t xml:space="preserve"> в органах державної виконавчої влади та м</w:t>
      </w:r>
      <w:r>
        <w:rPr>
          <w:bCs/>
          <w:sz w:val="27"/>
          <w:szCs w:val="27"/>
          <w:lang w:eastAsia="ru-RU"/>
        </w:rPr>
        <w:t>істах обласного значення діє 127</w:t>
      </w:r>
      <w:r w:rsidR="004A4D5C" w:rsidRPr="004A4D5C">
        <w:rPr>
          <w:bCs/>
          <w:sz w:val="27"/>
          <w:szCs w:val="27"/>
          <w:lang w:eastAsia="ru-RU"/>
        </w:rPr>
        <w:t xml:space="preserve"> регуляторних актів, з яких </w:t>
      </w:r>
      <w:r w:rsidRPr="000063D2">
        <w:rPr>
          <w:bCs/>
          <w:sz w:val="27"/>
          <w:szCs w:val="27"/>
          <w:lang w:eastAsia="ru-RU"/>
        </w:rPr>
        <w:t>5 – Чернівецької обласної державної адміністрації, 23 – райо</w:t>
      </w:r>
      <w:r>
        <w:rPr>
          <w:bCs/>
          <w:sz w:val="27"/>
          <w:szCs w:val="27"/>
          <w:lang w:eastAsia="ru-RU"/>
        </w:rPr>
        <w:t>нних державних адміністрацій, 37</w:t>
      </w:r>
      <w:r w:rsidRPr="000063D2">
        <w:rPr>
          <w:bCs/>
          <w:sz w:val="27"/>
          <w:szCs w:val="27"/>
          <w:lang w:val="ru-RU" w:eastAsia="ru-RU"/>
        </w:rPr>
        <w:t> </w:t>
      </w:r>
      <w:r w:rsidRPr="000063D2">
        <w:rPr>
          <w:bCs/>
          <w:sz w:val="27"/>
          <w:szCs w:val="27"/>
          <w:lang w:eastAsia="ru-RU"/>
        </w:rPr>
        <w:t>− Чернівецької міської ради та 62 – об’єднаних територіальних громад (за інформацією 12 ОТГ).</w:t>
      </w:r>
    </w:p>
    <w:p w:rsidR="00986D23" w:rsidRPr="00986D23" w:rsidRDefault="00CA3ED3" w:rsidP="00986D23">
      <w:pPr>
        <w:ind w:firstLine="709"/>
        <w:jc w:val="both"/>
        <w:rPr>
          <w:sz w:val="27"/>
          <w:szCs w:val="27"/>
        </w:rPr>
      </w:pPr>
      <w:r w:rsidRPr="00CA3ED3">
        <w:rPr>
          <w:sz w:val="27"/>
          <w:szCs w:val="27"/>
        </w:rPr>
        <w:t>Проводилась відповідна робота щодо відстеження результативності р</w:t>
      </w:r>
      <w:r w:rsidR="004F1958">
        <w:rPr>
          <w:sz w:val="27"/>
          <w:szCs w:val="27"/>
        </w:rPr>
        <w:t>егуляторних актів. Впродовж 2019</w:t>
      </w:r>
      <w:r w:rsidRPr="00CA3ED3">
        <w:rPr>
          <w:sz w:val="27"/>
          <w:szCs w:val="27"/>
        </w:rPr>
        <w:t xml:space="preserve"> року проведено відстеження результативності </w:t>
      </w:r>
      <w:r w:rsidR="00986D23" w:rsidRPr="00986D23">
        <w:rPr>
          <w:sz w:val="27"/>
          <w:szCs w:val="27"/>
        </w:rPr>
        <w:t>14 регуляторних актів, в тому числі 3 - обласної державної адміністрації, 2 - Чернівецької міської ради, 3 - районних державних адміністрацій та 6 – Новодністровської ОТГ.</w:t>
      </w:r>
    </w:p>
    <w:p w:rsidR="00B73963" w:rsidRDefault="00B73963" w:rsidP="00986D23">
      <w:pPr>
        <w:ind w:firstLine="709"/>
        <w:jc w:val="both"/>
        <w:rPr>
          <w:sz w:val="27"/>
          <w:szCs w:val="27"/>
          <w:lang w:val="ru-RU"/>
        </w:rPr>
      </w:pPr>
      <w:r w:rsidRPr="00937466">
        <w:rPr>
          <w:sz w:val="27"/>
          <w:szCs w:val="27"/>
          <w:lang w:val="ru-RU"/>
        </w:rPr>
        <w:t>Звіти про проведення ус</w:t>
      </w:r>
      <w:r>
        <w:rPr>
          <w:sz w:val="27"/>
          <w:szCs w:val="27"/>
          <w:lang w:val="ru-RU"/>
        </w:rPr>
        <w:t xml:space="preserve">іх </w:t>
      </w:r>
      <w:r w:rsidR="00851D7A">
        <w:rPr>
          <w:sz w:val="27"/>
          <w:szCs w:val="27"/>
          <w:lang w:val="ru-RU"/>
        </w:rPr>
        <w:t>видів відстеження оприлюднено</w:t>
      </w:r>
      <w:r w:rsidR="00986D23">
        <w:rPr>
          <w:sz w:val="27"/>
          <w:szCs w:val="27"/>
          <w:lang w:val="ru-RU"/>
        </w:rPr>
        <w:t xml:space="preserve"> на офіційних веб</w:t>
      </w:r>
      <w:r w:rsidRPr="00937466">
        <w:rPr>
          <w:sz w:val="27"/>
          <w:szCs w:val="27"/>
          <w:lang w:val="ru-RU"/>
        </w:rPr>
        <w:t xml:space="preserve">сайтах кожного з регуляторних органів. </w:t>
      </w:r>
    </w:p>
    <w:p w:rsidR="003E6A3F" w:rsidRPr="003E6A3F" w:rsidRDefault="003E6A3F" w:rsidP="003E6A3F">
      <w:pPr>
        <w:ind w:firstLine="709"/>
        <w:jc w:val="both"/>
        <w:rPr>
          <w:sz w:val="27"/>
          <w:szCs w:val="27"/>
        </w:rPr>
      </w:pPr>
      <w:r w:rsidRPr="003E6A3F">
        <w:rPr>
          <w:sz w:val="27"/>
          <w:szCs w:val="27"/>
        </w:rPr>
        <w:t xml:space="preserve">Забезпечено ведення Плану-графіку проведення заходів з відстеження результативності регуляторних актів, який розміщено на сайті обласної державної адміністрації в розділі «Діяльність обласної державної адміністрації», </w:t>
      </w:r>
      <w:r w:rsidRPr="003E6A3F">
        <w:rPr>
          <w:sz w:val="27"/>
          <w:szCs w:val="27"/>
        </w:rPr>
        <w:lastRenderedPageBreak/>
        <w:t>підрозділі «Регуляторна діяльність», рубриці «Звіти пр</w:t>
      </w:r>
      <w:r>
        <w:rPr>
          <w:sz w:val="27"/>
          <w:szCs w:val="27"/>
        </w:rPr>
        <w:t>о відстеження результативності»  за   </w:t>
      </w:r>
      <w:r w:rsidRPr="003E6A3F">
        <w:rPr>
          <w:sz w:val="27"/>
          <w:szCs w:val="27"/>
        </w:rPr>
        <w:t>посиланням</w:t>
      </w:r>
      <w:r>
        <w:rPr>
          <w:sz w:val="27"/>
          <w:szCs w:val="27"/>
        </w:rPr>
        <w:t>  </w:t>
      </w:r>
      <w:hyperlink r:id="rId9" w:history="1">
        <w:r w:rsidRPr="003E6A3F">
          <w:rPr>
            <w:rStyle w:val="a5"/>
            <w:color w:val="auto"/>
            <w:sz w:val="27"/>
            <w:szCs w:val="27"/>
          </w:rPr>
          <w:t>https://bukoda.gov.ua/uploads/editor/bukoda.gov.ua/регуляторна%20діяльність/plan-grafik_0.pdf</w:t>
        </w:r>
      </w:hyperlink>
      <w:r w:rsidRPr="003E6A3F">
        <w:rPr>
          <w:sz w:val="27"/>
          <w:szCs w:val="27"/>
        </w:rPr>
        <w:t xml:space="preserve"> .</w:t>
      </w:r>
    </w:p>
    <w:p w:rsidR="007B5241" w:rsidRPr="007B5241" w:rsidRDefault="007B5241" w:rsidP="007B5241">
      <w:pPr>
        <w:ind w:right="-79" w:firstLine="709"/>
        <w:jc w:val="both"/>
        <w:rPr>
          <w:sz w:val="27"/>
          <w:szCs w:val="27"/>
        </w:rPr>
      </w:pPr>
      <w:r w:rsidRPr="003E6A3F">
        <w:rPr>
          <w:sz w:val="27"/>
          <w:szCs w:val="27"/>
        </w:rPr>
        <w:t>Протягом 2019</w:t>
      </w:r>
      <w:r w:rsidR="00645DDD" w:rsidRPr="00645DDD">
        <w:rPr>
          <w:sz w:val="27"/>
          <w:szCs w:val="27"/>
        </w:rPr>
        <w:t xml:space="preserve"> року </w:t>
      </w:r>
      <w:r>
        <w:rPr>
          <w:sz w:val="27"/>
          <w:szCs w:val="27"/>
        </w:rPr>
        <w:t>проведено перегляд</w:t>
      </w:r>
      <w:r w:rsidR="00645DDD" w:rsidRPr="00645DDD">
        <w:rPr>
          <w:sz w:val="27"/>
          <w:szCs w:val="27"/>
        </w:rPr>
        <w:t xml:space="preserve"> </w:t>
      </w:r>
      <w:r w:rsidRPr="007B5241">
        <w:rPr>
          <w:sz w:val="27"/>
          <w:szCs w:val="27"/>
        </w:rPr>
        <w:t>31 регуляторного акту, за результатами якого до 8 регуляторних актів внесено зміни, 3 - скасовано.</w:t>
      </w:r>
    </w:p>
    <w:p w:rsidR="00B73963" w:rsidRPr="00931B96" w:rsidRDefault="00466442" w:rsidP="00931B96">
      <w:pPr>
        <w:ind w:firstLine="709"/>
        <w:jc w:val="both"/>
        <w:rPr>
          <w:sz w:val="27"/>
          <w:szCs w:val="27"/>
        </w:rPr>
      </w:pPr>
      <w:r w:rsidRPr="00931B96">
        <w:rPr>
          <w:sz w:val="27"/>
          <w:szCs w:val="27"/>
        </w:rPr>
        <w:t>З</w:t>
      </w:r>
      <w:r w:rsidR="00CB456B" w:rsidRPr="00931B96">
        <w:rPr>
          <w:sz w:val="27"/>
          <w:szCs w:val="27"/>
        </w:rPr>
        <w:t>абезпечено</w:t>
      </w:r>
      <w:r w:rsidR="00643765" w:rsidRPr="00931B96">
        <w:rPr>
          <w:sz w:val="27"/>
          <w:szCs w:val="27"/>
        </w:rPr>
        <w:t xml:space="preserve"> ведення р</w:t>
      </w:r>
      <w:r w:rsidR="00643765" w:rsidRPr="00931B96">
        <w:rPr>
          <w:bCs/>
          <w:sz w:val="27"/>
          <w:szCs w:val="27"/>
        </w:rPr>
        <w:t xml:space="preserve">еєстру регуляторних актів Чернівецької обласної державної адміністрації, який розміщено </w:t>
      </w:r>
      <w:r w:rsidR="00DB2674" w:rsidRPr="00931B96">
        <w:rPr>
          <w:bCs/>
          <w:sz w:val="27"/>
          <w:szCs w:val="27"/>
        </w:rPr>
        <w:t>на сайті обласної державної адміністрації в розділі «Д</w:t>
      </w:r>
      <w:r w:rsidR="002666F4" w:rsidRPr="00931B96">
        <w:rPr>
          <w:bCs/>
          <w:sz w:val="27"/>
          <w:szCs w:val="27"/>
        </w:rPr>
        <w:t>іяльність обласної державної адміністрації</w:t>
      </w:r>
      <w:r w:rsidR="00DB2674" w:rsidRPr="00931B96">
        <w:rPr>
          <w:bCs/>
          <w:sz w:val="27"/>
          <w:szCs w:val="27"/>
        </w:rPr>
        <w:t xml:space="preserve">», підрозділі «Регуляторна діяльність», рубриці «Реєстр регуляторних актів» за посиланням </w:t>
      </w:r>
      <w:hyperlink r:id="rId10" w:anchor="undefined2" w:history="1">
        <w:r w:rsidR="00931B96" w:rsidRPr="00931B96">
          <w:rPr>
            <w:rStyle w:val="a5"/>
            <w:color w:val="auto"/>
            <w:sz w:val="27"/>
            <w:szCs w:val="27"/>
          </w:rPr>
          <w:t>https://bukoda.gov.ua/page/group/175#undefined2</w:t>
        </w:r>
      </w:hyperlink>
      <w:r w:rsidR="00931B96" w:rsidRPr="00931B96">
        <w:rPr>
          <w:sz w:val="27"/>
          <w:szCs w:val="27"/>
        </w:rPr>
        <w:t xml:space="preserve">. </w:t>
      </w:r>
      <w:r w:rsidR="00931B96" w:rsidRPr="00931B96">
        <w:rPr>
          <w:bCs/>
          <w:sz w:val="27"/>
          <w:szCs w:val="27"/>
        </w:rPr>
        <w:t>Протягом 2019 року двічі вносились зміни</w:t>
      </w:r>
      <w:r w:rsidR="00931B96" w:rsidRPr="00931B96">
        <w:rPr>
          <w:sz w:val="27"/>
          <w:szCs w:val="27"/>
        </w:rPr>
        <w:t xml:space="preserve"> до Реєстру (25.04.2019 та 20.06.2019).</w:t>
      </w:r>
    </w:p>
    <w:p w:rsidR="00EF4081" w:rsidRPr="00EF4081" w:rsidRDefault="00EF4081" w:rsidP="00EF4081">
      <w:pPr>
        <w:pStyle w:val="ab"/>
        <w:ind w:firstLine="709"/>
        <w:jc w:val="both"/>
        <w:rPr>
          <w:rFonts w:ascii="Times New Roman" w:hAnsi="Times New Roman"/>
          <w:sz w:val="27"/>
          <w:szCs w:val="27"/>
        </w:rPr>
      </w:pPr>
      <w:r w:rsidRPr="00A2411D">
        <w:rPr>
          <w:rFonts w:ascii="Times New Roman" w:hAnsi="Times New Roman"/>
          <w:sz w:val="27"/>
          <w:szCs w:val="27"/>
        </w:rPr>
        <w:t>З метою підвищення ефективності роботи із забезпечення реалізації державної регуляторної політики</w:t>
      </w:r>
      <w:r w:rsidR="00931B96">
        <w:rPr>
          <w:rFonts w:ascii="Times New Roman" w:hAnsi="Times New Roman"/>
          <w:sz w:val="27"/>
          <w:szCs w:val="27"/>
        </w:rPr>
        <w:t xml:space="preserve"> в області діє </w:t>
      </w:r>
      <w:r w:rsidRPr="00A2411D">
        <w:rPr>
          <w:rFonts w:ascii="Times New Roman" w:hAnsi="Times New Roman"/>
          <w:sz w:val="27"/>
          <w:szCs w:val="27"/>
        </w:rPr>
        <w:t xml:space="preserve">розпорядження обласної державної адміністрації № 642-р «Про забезпечення реалізації державної регуляторної політики у Чернівецькій області». </w:t>
      </w:r>
    </w:p>
    <w:p w:rsidR="00931B96" w:rsidRDefault="006025FF" w:rsidP="00EF4081">
      <w:pPr>
        <w:ind w:firstLine="709"/>
        <w:jc w:val="both"/>
      </w:pPr>
      <w:r w:rsidRPr="00937466">
        <w:rPr>
          <w:sz w:val="27"/>
          <w:szCs w:val="27"/>
        </w:rPr>
        <w:t>З метою забезпечення єд</w:t>
      </w:r>
      <w:r w:rsidR="00931B96">
        <w:rPr>
          <w:sz w:val="27"/>
          <w:szCs w:val="27"/>
        </w:rPr>
        <w:t>иного підходу до підготовки проє</w:t>
      </w:r>
      <w:r w:rsidRPr="00937466">
        <w:rPr>
          <w:sz w:val="27"/>
          <w:szCs w:val="27"/>
        </w:rPr>
        <w:t xml:space="preserve">ктів регуляторних актів та прийняття їх тільки після проходження всіх регуляторних процедур, визначених Законом, </w:t>
      </w:r>
      <w:r w:rsidR="00EF4081">
        <w:rPr>
          <w:sz w:val="27"/>
          <w:szCs w:val="27"/>
        </w:rPr>
        <w:t>для розробників регуляторних актів, суб’єктів</w:t>
      </w:r>
      <w:r w:rsidR="00EF4081" w:rsidRPr="00937466">
        <w:rPr>
          <w:sz w:val="27"/>
          <w:szCs w:val="27"/>
        </w:rPr>
        <w:t xml:space="preserve"> господарювання </w:t>
      </w:r>
      <w:r w:rsidR="00EF4081" w:rsidRPr="00EF4081">
        <w:rPr>
          <w:sz w:val="27"/>
          <w:szCs w:val="27"/>
        </w:rPr>
        <w:t>проводились інформаційно-роз’яснювальні та навчальні семінари з питань здійснення державної регуляторної політики</w:t>
      </w:r>
      <w:r w:rsidR="00931B96">
        <w:rPr>
          <w:sz w:val="27"/>
          <w:szCs w:val="27"/>
        </w:rPr>
        <w:t>.</w:t>
      </w:r>
    </w:p>
    <w:p w:rsidR="00931B96" w:rsidRPr="00931B96" w:rsidRDefault="00931B96" w:rsidP="00931B96">
      <w:pPr>
        <w:pStyle w:val="a3"/>
        <w:tabs>
          <w:tab w:val="left" w:pos="9637"/>
        </w:tabs>
        <w:spacing w:after="0"/>
        <w:ind w:left="0" w:firstLine="709"/>
        <w:jc w:val="both"/>
        <w:rPr>
          <w:sz w:val="27"/>
          <w:szCs w:val="27"/>
        </w:rPr>
      </w:pPr>
      <w:r w:rsidRPr="00931B96">
        <w:rPr>
          <w:sz w:val="27"/>
          <w:szCs w:val="27"/>
        </w:rPr>
        <w:t>Сектор Державної регуляторної служби у Чернівец</w:t>
      </w:r>
      <w:r w:rsidR="00851D7A">
        <w:rPr>
          <w:sz w:val="27"/>
          <w:szCs w:val="27"/>
        </w:rPr>
        <w:t>ькій області активно долучався</w:t>
      </w:r>
      <w:r w:rsidRPr="00931B96">
        <w:rPr>
          <w:sz w:val="27"/>
          <w:szCs w:val="27"/>
        </w:rPr>
        <w:t xml:space="preserve"> до вирішення актуальних питань та надання практичних консультацій щодо здійснення державної регуляторної політики.</w:t>
      </w:r>
    </w:p>
    <w:p w:rsidR="00931B96" w:rsidRPr="00931B96" w:rsidRDefault="00931B96" w:rsidP="00931B96">
      <w:pPr>
        <w:pStyle w:val="a3"/>
        <w:tabs>
          <w:tab w:val="left" w:pos="9637"/>
        </w:tabs>
        <w:spacing w:after="0"/>
        <w:ind w:left="0" w:firstLine="709"/>
        <w:jc w:val="both"/>
        <w:rPr>
          <w:sz w:val="27"/>
          <w:szCs w:val="27"/>
        </w:rPr>
      </w:pPr>
      <w:r w:rsidRPr="00931B96">
        <w:rPr>
          <w:sz w:val="27"/>
          <w:szCs w:val="27"/>
        </w:rPr>
        <w:t>Так, 02.07.2019 відбулося навчання з питань реалізації регуляторної політики для ОТГ, а саме, за ініціативи голови та юрисконсульта Волоківської об’єднаної територіальної громади та Сектору Державної регуляторної служби у Чернівецькій області проведено навчання щодо реалізації державної регуляторної політики, підготовки АРВ та тесту малого підприємництва</w:t>
      </w:r>
      <w:r>
        <w:rPr>
          <w:sz w:val="27"/>
          <w:szCs w:val="27"/>
        </w:rPr>
        <w:t xml:space="preserve">          </w:t>
      </w:r>
      <w:r w:rsidRPr="00931B96">
        <w:rPr>
          <w:sz w:val="27"/>
          <w:szCs w:val="27"/>
        </w:rPr>
        <w:t xml:space="preserve"> (М-тесту). </w:t>
      </w:r>
    </w:p>
    <w:p w:rsidR="00931B96" w:rsidRPr="00931B96" w:rsidRDefault="00931B96" w:rsidP="00931B96">
      <w:pPr>
        <w:pStyle w:val="a3"/>
        <w:tabs>
          <w:tab w:val="left" w:pos="9637"/>
        </w:tabs>
        <w:spacing w:after="0"/>
        <w:ind w:left="0" w:firstLine="709"/>
        <w:jc w:val="both"/>
        <w:rPr>
          <w:sz w:val="27"/>
          <w:szCs w:val="27"/>
        </w:rPr>
      </w:pPr>
      <w:r w:rsidRPr="00931B96">
        <w:rPr>
          <w:sz w:val="27"/>
          <w:szCs w:val="27"/>
        </w:rPr>
        <w:t>Надано детальну</w:t>
      </w:r>
      <w:r>
        <w:rPr>
          <w:sz w:val="27"/>
          <w:szCs w:val="27"/>
        </w:rPr>
        <w:t xml:space="preserve"> інформацію щодо підготовки проє</w:t>
      </w:r>
      <w:r w:rsidRPr="00931B96">
        <w:rPr>
          <w:sz w:val="27"/>
          <w:szCs w:val="27"/>
        </w:rPr>
        <w:t>ктів рішень про встановлення місцевих податків на наступний рік, подальшої співпраці з цього питання та підготовки інших проєктів регуляторних актів, а також практичну допомогу в розробці АРВ та М-тесту до вказаних рішень, зокрема, у розрахунках прямих та адміністративних витрат суб’єктів малого та середнього підприємництва та бюджетних витрат органу місцевого самоврядування для виконання регуляторного акта.</w:t>
      </w:r>
    </w:p>
    <w:p w:rsidR="00931B96" w:rsidRPr="00931B96" w:rsidRDefault="00931B96" w:rsidP="00931B96">
      <w:pPr>
        <w:pStyle w:val="a3"/>
        <w:tabs>
          <w:tab w:val="left" w:pos="9637"/>
        </w:tabs>
        <w:spacing w:after="0"/>
        <w:ind w:left="0" w:firstLine="709"/>
        <w:jc w:val="both"/>
        <w:rPr>
          <w:sz w:val="27"/>
          <w:szCs w:val="27"/>
        </w:rPr>
      </w:pPr>
      <w:r w:rsidRPr="00931B96">
        <w:rPr>
          <w:sz w:val="27"/>
          <w:szCs w:val="27"/>
        </w:rPr>
        <w:t>У серпні 2019 року надано консультацію представникам Чернівецької міської ради щодо реалізації державної регуляторної політики, підготовки АРВ та тесту малого підприємництва (М-тесту) до проєктів регуляторних актів «Про обмеження продажу алкогольних, слабоалкогольних напоїв, вин столових, пива (крім безалкогольного) на території міста Чернівців» та «Про визначення місць заборони продажу алкогольних, слабоалкогольних напоїв, вин столових, пива (крім безалкогольного) на території міста Чернівців».</w:t>
      </w:r>
    </w:p>
    <w:p w:rsidR="00931B96" w:rsidRPr="00931B96" w:rsidRDefault="00931B96" w:rsidP="00931B96">
      <w:pPr>
        <w:pStyle w:val="a3"/>
        <w:tabs>
          <w:tab w:val="left" w:pos="9637"/>
        </w:tabs>
        <w:spacing w:after="0"/>
        <w:ind w:left="0" w:firstLine="709"/>
        <w:jc w:val="both"/>
        <w:rPr>
          <w:sz w:val="27"/>
          <w:szCs w:val="27"/>
        </w:rPr>
      </w:pPr>
      <w:r w:rsidRPr="00931B96">
        <w:rPr>
          <w:sz w:val="27"/>
          <w:szCs w:val="27"/>
        </w:rPr>
        <w:t>29.08.2019 проведено інформаційно-роз’яснювальну роботу працівникам Кіцманської об’єднаної територіальної громади Чернівецької області з питань дотримання об’єднаною територіальною громадою вимог Закону України «Про доступ до публічної інформації».</w:t>
      </w:r>
    </w:p>
    <w:p w:rsidR="00931B96" w:rsidRPr="00931B96" w:rsidRDefault="00931B96" w:rsidP="00931B96">
      <w:pPr>
        <w:pStyle w:val="a3"/>
        <w:tabs>
          <w:tab w:val="left" w:pos="9637"/>
        </w:tabs>
        <w:spacing w:after="0"/>
        <w:ind w:left="0" w:firstLine="709"/>
        <w:jc w:val="both"/>
        <w:rPr>
          <w:sz w:val="27"/>
          <w:szCs w:val="27"/>
        </w:rPr>
      </w:pPr>
      <w:r w:rsidRPr="00931B96">
        <w:rPr>
          <w:sz w:val="27"/>
          <w:szCs w:val="27"/>
        </w:rPr>
        <w:lastRenderedPageBreak/>
        <w:t xml:space="preserve">03.09.2019 надано консультацію представникам Юрковецької об’єднаної територіальної громади Заставнівського району Чернівецької області з питань дотримання об’єднаною територіальною громадою вимог Закону України «Про засади державної регуляторної політики». </w:t>
      </w:r>
    </w:p>
    <w:p w:rsidR="00931B96" w:rsidRPr="00931B96" w:rsidRDefault="00931B96" w:rsidP="00931B96">
      <w:pPr>
        <w:pStyle w:val="a3"/>
        <w:tabs>
          <w:tab w:val="left" w:pos="9637"/>
        </w:tabs>
        <w:spacing w:after="0"/>
        <w:ind w:left="0" w:firstLine="709"/>
        <w:jc w:val="both"/>
        <w:rPr>
          <w:sz w:val="27"/>
          <w:szCs w:val="27"/>
        </w:rPr>
      </w:pPr>
      <w:r w:rsidRPr="00931B96">
        <w:rPr>
          <w:sz w:val="27"/>
          <w:szCs w:val="27"/>
        </w:rPr>
        <w:t>В ході спільної роботи було вивчено стан виконання ре</w:t>
      </w:r>
      <w:r w:rsidR="00851D7A">
        <w:rPr>
          <w:sz w:val="27"/>
          <w:szCs w:val="27"/>
        </w:rPr>
        <w:t>гуляторним органом вимог Закону</w:t>
      </w:r>
      <w:r w:rsidRPr="00931B96">
        <w:rPr>
          <w:sz w:val="27"/>
          <w:szCs w:val="27"/>
        </w:rPr>
        <w:t xml:space="preserve"> в частині оприлюднення прийнятих рішень та здійснення відстеження їх результативності.</w:t>
      </w:r>
    </w:p>
    <w:p w:rsidR="00931B96" w:rsidRPr="00931B96" w:rsidRDefault="00931B96" w:rsidP="00931B96">
      <w:pPr>
        <w:pStyle w:val="a3"/>
        <w:tabs>
          <w:tab w:val="left" w:pos="9637"/>
        </w:tabs>
        <w:spacing w:after="0"/>
        <w:ind w:left="0" w:firstLine="709"/>
        <w:jc w:val="both"/>
        <w:rPr>
          <w:sz w:val="27"/>
          <w:szCs w:val="27"/>
        </w:rPr>
      </w:pPr>
      <w:r w:rsidRPr="00931B96">
        <w:rPr>
          <w:sz w:val="27"/>
          <w:szCs w:val="27"/>
        </w:rPr>
        <w:t>12.09.2019 проведено практичний семінар для посадових осіб міських, селищних, сільських рад об’єднаних територ</w:t>
      </w:r>
      <w:r>
        <w:rPr>
          <w:sz w:val="27"/>
          <w:szCs w:val="27"/>
        </w:rPr>
        <w:t>іальних громад щодо аналізу проє</w:t>
      </w:r>
      <w:r w:rsidRPr="00931B96">
        <w:rPr>
          <w:sz w:val="27"/>
          <w:szCs w:val="27"/>
        </w:rPr>
        <w:t>ктів регуляторних актів, наданих органами місцевого самоврядування до Державної регуляторної служби для</w:t>
      </w:r>
      <w:r w:rsidR="00851D7A">
        <w:rPr>
          <w:sz w:val="27"/>
          <w:szCs w:val="27"/>
        </w:rPr>
        <w:t xml:space="preserve"> надання пропозицій і зауважень</w:t>
      </w:r>
      <w:r w:rsidRPr="00931B96">
        <w:rPr>
          <w:sz w:val="27"/>
          <w:szCs w:val="27"/>
        </w:rPr>
        <w:t xml:space="preserve"> та щодо реалізації норм та практичного застосування Закону України «Про засади державної регуляторної політики у сфері господарської діяльності». Обговорено </w:t>
      </w:r>
      <w:r>
        <w:rPr>
          <w:sz w:val="27"/>
          <w:szCs w:val="27"/>
        </w:rPr>
        <w:t>типові помилки при розробці проє</w:t>
      </w:r>
      <w:r w:rsidRPr="00931B96">
        <w:rPr>
          <w:sz w:val="27"/>
          <w:szCs w:val="27"/>
        </w:rPr>
        <w:t>ктів регуляторних актів, зокрема, при під</w:t>
      </w:r>
      <w:r>
        <w:rPr>
          <w:sz w:val="27"/>
          <w:szCs w:val="27"/>
        </w:rPr>
        <w:t>готовці проє</w:t>
      </w:r>
      <w:r w:rsidRPr="00931B96">
        <w:rPr>
          <w:sz w:val="27"/>
          <w:szCs w:val="27"/>
        </w:rPr>
        <w:t>ктів по затвердження ставок місцевих податків та зборів, пайової участі забудовників у розвитку інфраструктури населеного пункту та інших нормативно-правових актів.</w:t>
      </w:r>
    </w:p>
    <w:p w:rsidR="00931B96" w:rsidRPr="00931B96" w:rsidRDefault="00931B96" w:rsidP="00931B96">
      <w:pPr>
        <w:pStyle w:val="a3"/>
        <w:tabs>
          <w:tab w:val="left" w:pos="9637"/>
        </w:tabs>
        <w:spacing w:after="0"/>
        <w:ind w:left="0" w:firstLine="709"/>
        <w:jc w:val="both"/>
        <w:rPr>
          <w:sz w:val="27"/>
          <w:szCs w:val="27"/>
        </w:rPr>
      </w:pPr>
      <w:r w:rsidRPr="00931B96">
        <w:rPr>
          <w:sz w:val="27"/>
          <w:szCs w:val="27"/>
        </w:rPr>
        <w:t>Також, обговорено питання необхідності доступу і наповнення порталу відкритих даних.</w:t>
      </w:r>
    </w:p>
    <w:p w:rsidR="00931B96" w:rsidRPr="00931B96" w:rsidRDefault="00931B96" w:rsidP="00931B96">
      <w:pPr>
        <w:pStyle w:val="a3"/>
        <w:tabs>
          <w:tab w:val="left" w:pos="9637"/>
        </w:tabs>
        <w:spacing w:after="0"/>
        <w:ind w:left="0" w:firstLine="709"/>
        <w:jc w:val="both"/>
        <w:rPr>
          <w:sz w:val="27"/>
          <w:szCs w:val="27"/>
        </w:rPr>
      </w:pPr>
      <w:r w:rsidRPr="00931B96">
        <w:rPr>
          <w:sz w:val="27"/>
          <w:szCs w:val="27"/>
        </w:rPr>
        <w:t>30.09.2019 проведено консультування спеціалістів Хотинської районної ради щодо реалізації державної регуляторної політики, підготовки АРВ та тесту малого підприємництва.</w:t>
      </w:r>
    </w:p>
    <w:p w:rsidR="00931B96" w:rsidRPr="00931B96" w:rsidRDefault="00931B96" w:rsidP="00931B96">
      <w:pPr>
        <w:pStyle w:val="a3"/>
        <w:tabs>
          <w:tab w:val="left" w:pos="9637"/>
        </w:tabs>
        <w:spacing w:after="0"/>
        <w:ind w:left="0" w:firstLine="709"/>
        <w:jc w:val="both"/>
        <w:rPr>
          <w:sz w:val="27"/>
          <w:szCs w:val="27"/>
        </w:rPr>
      </w:pPr>
      <w:r>
        <w:rPr>
          <w:sz w:val="27"/>
          <w:szCs w:val="27"/>
        </w:rPr>
        <w:t>Проаналізовано проє</w:t>
      </w:r>
      <w:r w:rsidRPr="00931B96">
        <w:rPr>
          <w:sz w:val="27"/>
          <w:szCs w:val="27"/>
        </w:rPr>
        <w:t>кт рішення Хотинської районної ради «Про затвердження Положення про порядок доступу юридичних та фізичних осіб до матеріалів технічної інвентаризації, реєстрових книг та архівних справ комунального підприємства «Хотинське комунальне районне бюро технічної інвентаризації» та надано консультацію стосовно підготовки АРВ, М-тесту та його опублікування в засобах масової інформації і на сторінці Порталу відкритих даних.</w:t>
      </w:r>
    </w:p>
    <w:p w:rsidR="00931B96" w:rsidRPr="00931B96" w:rsidRDefault="00931B96" w:rsidP="00931B96">
      <w:pPr>
        <w:pStyle w:val="a3"/>
        <w:tabs>
          <w:tab w:val="left" w:pos="9637"/>
        </w:tabs>
        <w:spacing w:after="0"/>
        <w:ind w:left="0" w:firstLine="709"/>
        <w:jc w:val="both"/>
        <w:rPr>
          <w:sz w:val="27"/>
          <w:szCs w:val="27"/>
        </w:rPr>
      </w:pPr>
      <w:r w:rsidRPr="00931B96">
        <w:rPr>
          <w:sz w:val="27"/>
          <w:szCs w:val="27"/>
        </w:rPr>
        <w:t>04.10.2019 за сприяння Чернівецького Центру перепідготовки та підвищення кваліфікації працівників органів державної влади, органів місцевого самоврядування, державних підприємств, установ та організацій представниками Сектору Державної регуляторної служби у Чернівецькій області проведено навчання для підвищення кваліфікації спеціалістів райдержадміністрації та представників органів місцевого самоврядування Герцаївського району у сфері державної регуляторної політики. Обговорено питання щодо підготовки проєктів нормативно-правових актів у сфері Порядку перевезення пасажирів у транспортах загального користування в межах району та Регламенту Центрів з надання адміністративних послуг.</w:t>
      </w:r>
    </w:p>
    <w:p w:rsidR="00931B96" w:rsidRDefault="00931B96" w:rsidP="00931B96">
      <w:pPr>
        <w:pStyle w:val="a3"/>
        <w:tabs>
          <w:tab w:val="left" w:pos="9637"/>
        </w:tabs>
        <w:spacing w:after="0"/>
        <w:ind w:left="0" w:firstLine="709"/>
        <w:jc w:val="both"/>
        <w:rPr>
          <w:sz w:val="27"/>
          <w:szCs w:val="27"/>
        </w:rPr>
      </w:pPr>
      <w:r w:rsidRPr="00931B96">
        <w:rPr>
          <w:sz w:val="27"/>
          <w:szCs w:val="27"/>
        </w:rPr>
        <w:t>29.10.2019 за сприяння Чернівецького Центру перепідготовки та підвищення кваліфікації працівників органів державної влади, органів місцевого самоврядування, державних підприємств, установ та організацій, представниками Сектору Державної регуляторної служби у Чернівецькій області проведено навчальний захід з метою підвищення кваліфікації спеціалістів райдержадміністрації та представників органів місцевого самоврядування Заставнівського району у сфері державної регуляторної політики. Особлива увага зверталась на підготовку проєктів нормативно-</w:t>
      </w:r>
      <w:r w:rsidRPr="00931B96">
        <w:rPr>
          <w:sz w:val="27"/>
          <w:szCs w:val="27"/>
        </w:rPr>
        <w:lastRenderedPageBreak/>
        <w:t>правових актів у сфері місцевих податків і зборів та правил благоустрою територій населених пунктів.</w:t>
      </w:r>
    </w:p>
    <w:p w:rsidR="00686E10" w:rsidRPr="00686E10" w:rsidRDefault="00686E10" w:rsidP="00931B96">
      <w:pPr>
        <w:pStyle w:val="a3"/>
        <w:tabs>
          <w:tab w:val="left" w:pos="9637"/>
        </w:tabs>
        <w:spacing w:after="0"/>
        <w:ind w:left="0" w:firstLine="709"/>
        <w:jc w:val="both"/>
        <w:rPr>
          <w:sz w:val="27"/>
          <w:szCs w:val="27"/>
        </w:rPr>
      </w:pPr>
      <w:r w:rsidRPr="00686E10">
        <w:rPr>
          <w:color w:val="010000"/>
          <w:sz w:val="27"/>
          <w:szCs w:val="27"/>
        </w:rPr>
        <w:t xml:space="preserve">Також, на базі Чернівецького регіонального центру перепідготовки та підвищення кваліфікації працівників органів державної влади, органів місцевого самоврядування, державних підприємств, установ та організацій проведено навчання за програмою короткотермінового семінару «Новели у регуляторному законодавстві», в якому </w:t>
      </w:r>
      <w:r w:rsidR="00851D7A">
        <w:rPr>
          <w:color w:val="010000"/>
          <w:sz w:val="27"/>
          <w:szCs w:val="27"/>
        </w:rPr>
        <w:t>взяли</w:t>
      </w:r>
      <w:r w:rsidRPr="00686E10">
        <w:rPr>
          <w:color w:val="010000"/>
          <w:sz w:val="27"/>
          <w:szCs w:val="27"/>
        </w:rPr>
        <w:t xml:space="preserve"> участь 46 представників </w:t>
      </w:r>
      <w:r w:rsidR="00851D7A">
        <w:rPr>
          <w:color w:val="010000"/>
          <w:sz w:val="27"/>
          <w:szCs w:val="27"/>
        </w:rPr>
        <w:t xml:space="preserve">структурних підрозділів </w:t>
      </w:r>
      <w:r w:rsidRPr="00686E10">
        <w:rPr>
          <w:color w:val="010000"/>
          <w:sz w:val="27"/>
          <w:szCs w:val="27"/>
        </w:rPr>
        <w:t>облдержадміністрації, райдержадміністрацій.</w:t>
      </w:r>
    </w:p>
    <w:p w:rsidR="00B50386" w:rsidRDefault="00B50386" w:rsidP="00931B96">
      <w:pPr>
        <w:pStyle w:val="a3"/>
        <w:tabs>
          <w:tab w:val="left" w:pos="9637"/>
        </w:tabs>
        <w:spacing w:after="0"/>
        <w:ind w:left="0" w:firstLine="709"/>
        <w:jc w:val="both"/>
        <w:rPr>
          <w:sz w:val="27"/>
          <w:szCs w:val="27"/>
        </w:rPr>
      </w:pPr>
      <w:r w:rsidRPr="00937466">
        <w:rPr>
          <w:sz w:val="27"/>
          <w:szCs w:val="27"/>
        </w:rPr>
        <w:t xml:space="preserve">В цілому, в області забезпечується дотримання норм регуляторного законодавства України, що сприяє зменшенню тиску на підприємницьке середовище. </w:t>
      </w:r>
      <w:bookmarkStart w:id="0" w:name="_GoBack"/>
      <w:bookmarkEnd w:id="0"/>
    </w:p>
    <w:p w:rsidR="00466442" w:rsidRDefault="00466442" w:rsidP="00B50386">
      <w:pPr>
        <w:pStyle w:val="a3"/>
        <w:tabs>
          <w:tab w:val="left" w:pos="9637"/>
        </w:tabs>
        <w:spacing w:after="0"/>
        <w:ind w:left="0" w:firstLine="709"/>
        <w:jc w:val="both"/>
        <w:rPr>
          <w:sz w:val="27"/>
          <w:szCs w:val="27"/>
        </w:rPr>
      </w:pPr>
    </w:p>
    <w:p w:rsidR="00466442" w:rsidRDefault="00466442" w:rsidP="00B50386">
      <w:pPr>
        <w:pStyle w:val="a3"/>
        <w:tabs>
          <w:tab w:val="left" w:pos="9637"/>
        </w:tabs>
        <w:spacing w:after="0"/>
        <w:ind w:left="0" w:firstLine="709"/>
        <w:jc w:val="both"/>
        <w:rPr>
          <w:sz w:val="27"/>
          <w:szCs w:val="27"/>
        </w:rPr>
      </w:pPr>
    </w:p>
    <w:p w:rsidR="00C00541" w:rsidRDefault="00075436" w:rsidP="00466442">
      <w:pPr>
        <w:tabs>
          <w:tab w:val="left" w:pos="851"/>
        </w:tabs>
        <w:rPr>
          <w:sz w:val="20"/>
          <w:szCs w:val="20"/>
        </w:rPr>
      </w:pPr>
      <w:r>
        <w:rPr>
          <w:noProof/>
          <w:sz w:val="20"/>
          <w:szCs w:val="20"/>
          <w:lang w:val="ru-RU" w:eastAsia="ru-RU"/>
        </w:rPr>
        <w:drawing>
          <wp:inline distT="0" distB="0" distL="0" distR="0">
            <wp:extent cx="5859771" cy="1296000"/>
            <wp:effectExtent l="1905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cstate="print"/>
                    <a:srcRect r="-626"/>
                    <a:stretch>
                      <a:fillRect/>
                    </a:stretch>
                  </pic:blipFill>
                  <pic:spPr bwMode="auto">
                    <a:xfrm>
                      <a:off x="0" y="0"/>
                      <a:ext cx="5859771" cy="1296000"/>
                    </a:xfrm>
                    <a:prstGeom prst="rect">
                      <a:avLst/>
                    </a:prstGeom>
                    <a:noFill/>
                    <a:ln w="9525">
                      <a:noFill/>
                      <a:miter lim="800000"/>
                      <a:headEnd/>
                      <a:tailEnd/>
                    </a:ln>
                  </pic:spPr>
                </pic:pic>
              </a:graphicData>
            </a:graphic>
          </wp:inline>
        </w:drawing>
      </w:r>
    </w:p>
    <w:p w:rsidR="00466442" w:rsidRPr="00937466" w:rsidRDefault="00466442" w:rsidP="00B50386">
      <w:pPr>
        <w:pStyle w:val="a3"/>
        <w:tabs>
          <w:tab w:val="left" w:pos="9637"/>
        </w:tabs>
        <w:spacing w:after="0"/>
        <w:ind w:left="0" w:firstLine="709"/>
        <w:jc w:val="both"/>
        <w:rPr>
          <w:sz w:val="27"/>
          <w:szCs w:val="27"/>
        </w:rPr>
      </w:pPr>
    </w:p>
    <w:sectPr w:rsidR="00466442" w:rsidRPr="00937466" w:rsidSect="00937466">
      <w:headerReference w:type="default" r:id="rId12"/>
      <w:pgSz w:w="11906" w:h="16838"/>
      <w:pgMar w:top="1134" w:right="851" w:bottom="851"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0C3D" w:rsidRDefault="00400C3D" w:rsidP="00D81B77">
      <w:r>
        <w:separator/>
      </w:r>
    </w:p>
  </w:endnote>
  <w:endnote w:type="continuationSeparator" w:id="0">
    <w:p w:rsidR="00400C3D" w:rsidRDefault="00400C3D" w:rsidP="00D81B7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0C3D" w:rsidRDefault="00400C3D" w:rsidP="00D81B77">
      <w:r>
        <w:separator/>
      </w:r>
    </w:p>
  </w:footnote>
  <w:footnote w:type="continuationSeparator" w:id="0">
    <w:p w:rsidR="00400C3D" w:rsidRDefault="00400C3D" w:rsidP="00D81B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66735"/>
      <w:docPartObj>
        <w:docPartGallery w:val="Page Numbers (Top of Page)"/>
        <w:docPartUnique/>
      </w:docPartObj>
    </w:sdtPr>
    <w:sdtContent>
      <w:p w:rsidR="00D81B77" w:rsidRDefault="00B4021D">
        <w:pPr>
          <w:pStyle w:val="a6"/>
          <w:jc w:val="center"/>
        </w:pPr>
        <w:r>
          <w:fldChar w:fldCharType="begin"/>
        </w:r>
        <w:r w:rsidR="008C49C1">
          <w:instrText xml:space="preserve"> PAGE   \* MERGEFORMAT </w:instrText>
        </w:r>
        <w:r>
          <w:fldChar w:fldCharType="separate"/>
        </w:r>
        <w:r w:rsidR="00075436">
          <w:rPr>
            <w:noProof/>
          </w:rPr>
          <w:t>5</w:t>
        </w:r>
        <w:r>
          <w:rPr>
            <w:noProof/>
          </w:rPr>
          <w:fldChar w:fldCharType="end"/>
        </w:r>
      </w:p>
    </w:sdtContent>
  </w:sdt>
  <w:p w:rsidR="00D81B77" w:rsidRDefault="00D81B77">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40"/>
  <w:displayHorizontalDrawingGridEvery w:val="2"/>
  <w:characterSpacingControl w:val="doNotCompress"/>
  <w:footnotePr>
    <w:footnote w:id="-1"/>
    <w:footnote w:id="0"/>
  </w:footnotePr>
  <w:endnotePr>
    <w:endnote w:id="-1"/>
    <w:endnote w:id="0"/>
  </w:endnotePr>
  <w:compat/>
  <w:rsids>
    <w:rsidRoot w:val="00B50386"/>
    <w:rsid w:val="000063D2"/>
    <w:rsid w:val="00040759"/>
    <w:rsid w:val="00042866"/>
    <w:rsid w:val="00050648"/>
    <w:rsid w:val="00053975"/>
    <w:rsid w:val="0005717D"/>
    <w:rsid w:val="00060409"/>
    <w:rsid w:val="000614BB"/>
    <w:rsid w:val="00075436"/>
    <w:rsid w:val="00093F91"/>
    <w:rsid w:val="000965D8"/>
    <w:rsid w:val="00096718"/>
    <w:rsid w:val="00113C7C"/>
    <w:rsid w:val="0014724E"/>
    <w:rsid w:val="0017198B"/>
    <w:rsid w:val="001757BF"/>
    <w:rsid w:val="00190BFC"/>
    <w:rsid w:val="001B45EC"/>
    <w:rsid w:val="001B47C7"/>
    <w:rsid w:val="001C387C"/>
    <w:rsid w:val="001D40CF"/>
    <w:rsid w:val="00207D41"/>
    <w:rsid w:val="00213725"/>
    <w:rsid w:val="00214AA8"/>
    <w:rsid w:val="002151F5"/>
    <w:rsid w:val="00215B9C"/>
    <w:rsid w:val="00221314"/>
    <w:rsid w:val="00257D09"/>
    <w:rsid w:val="002666F4"/>
    <w:rsid w:val="00277015"/>
    <w:rsid w:val="0028362B"/>
    <w:rsid w:val="002B1133"/>
    <w:rsid w:val="002C37E4"/>
    <w:rsid w:val="002D1C64"/>
    <w:rsid w:val="00300AD5"/>
    <w:rsid w:val="003110BF"/>
    <w:rsid w:val="003163C7"/>
    <w:rsid w:val="00320B37"/>
    <w:rsid w:val="00332AC6"/>
    <w:rsid w:val="00333FF9"/>
    <w:rsid w:val="00346DAB"/>
    <w:rsid w:val="00352392"/>
    <w:rsid w:val="00391710"/>
    <w:rsid w:val="003A2883"/>
    <w:rsid w:val="003B0B84"/>
    <w:rsid w:val="003B6A46"/>
    <w:rsid w:val="003B7750"/>
    <w:rsid w:val="003C0A10"/>
    <w:rsid w:val="003E6A3F"/>
    <w:rsid w:val="0040068B"/>
    <w:rsid w:val="00400C3D"/>
    <w:rsid w:val="00404B3C"/>
    <w:rsid w:val="00444BF7"/>
    <w:rsid w:val="00466442"/>
    <w:rsid w:val="004702BA"/>
    <w:rsid w:val="00474569"/>
    <w:rsid w:val="00475F66"/>
    <w:rsid w:val="004A4D5C"/>
    <w:rsid w:val="004A4EE3"/>
    <w:rsid w:val="004B7572"/>
    <w:rsid w:val="004F0E4F"/>
    <w:rsid w:val="004F1958"/>
    <w:rsid w:val="00507BCD"/>
    <w:rsid w:val="00550810"/>
    <w:rsid w:val="00560AFC"/>
    <w:rsid w:val="00584C47"/>
    <w:rsid w:val="0058789C"/>
    <w:rsid w:val="00590AC4"/>
    <w:rsid w:val="005B0A0F"/>
    <w:rsid w:val="005B439F"/>
    <w:rsid w:val="005C1C7C"/>
    <w:rsid w:val="005D4013"/>
    <w:rsid w:val="005F5AA7"/>
    <w:rsid w:val="00601487"/>
    <w:rsid w:val="006025FF"/>
    <w:rsid w:val="006267B6"/>
    <w:rsid w:val="00643765"/>
    <w:rsid w:val="00645DDD"/>
    <w:rsid w:val="00652A52"/>
    <w:rsid w:val="006739E0"/>
    <w:rsid w:val="00686E10"/>
    <w:rsid w:val="00691BE9"/>
    <w:rsid w:val="006B4347"/>
    <w:rsid w:val="006C6E09"/>
    <w:rsid w:val="006C78A7"/>
    <w:rsid w:val="006F4D88"/>
    <w:rsid w:val="006F7387"/>
    <w:rsid w:val="00702EA7"/>
    <w:rsid w:val="00703D7C"/>
    <w:rsid w:val="00717617"/>
    <w:rsid w:val="00733E15"/>
    <w:rsid w:val="00757D0E"/>
    <w:rsid w:val="00762800"/>
    <w:rsid w:val="00780C7F"/>
    <w:rsid w:val="007A1771"/>
    <w:rsid w:val="007B5241"/>
    <w:rsid w:val="007C3E6C"/>
    <w:rsid w:val="007D7DF2"/>
    <w:rsid w:val="007F7567"/>
    <w:rsid w:val="00806F60"/>
    <w:rsid w:val="008070C3"/>
    <w:rsid w:val="00830EE4"/>
    <w:rsid w:val="00846EED"/>
    <w:rsid w:val="00851D7A"/>
    <w:rsid w:val="00880C4A"/>
    <w:rsid w:val="00883857"/>
    <w:rsid w:val="008901F2"/>
    <w:rsid w:val="008B132B"/>
    <w:rsid w:val="008C2EB6"/>
    <w:rsid w:val="008C49C1"/>
    <w:rsid w:val="008F4ABF"/>
    <w:rsid w:val="00931B96"/>
    <w:rsid w:val="00937466"/>
    <w:rsid w:val="0094040F"/>
    <w:rsid w:val="009544F7"/>
    <w:rsid w:val="009576E8"/>
    <w:rsid w:val="009863C9"/>
    <w:rsid w:val="00986D23"/>
    <w:rsid w:val="009A7278"/>
    <w:rsid w:val="009F5D64"/>
    <w:rsid w:val="009F6D75"/>
    <w:rsid w:val="00A14A0F"/>
    <w:rsid w:val="00A2411D"/>
    <w:rsid w:val="00A83364"/>
    <w:rsid w:val="00A8404C"/>
    <w:rsid w:val="00AB54B4"/>
    <w:rsid w:val="00AC0A31"/>
    <w:rsid w:val="00AC0C9A"/>
    <w:rsid w:val="00AC215C"/>
    <w:rsid w:val="00B117DF"/>
    <w:rsid w:val="00B25122"/>
    <w:rsid w:val="00B4021D"/>
    <w:rsid w:val="00B50386"/>
    <w:rsid w:val="00B561E4"/>
    <w:rsid w:val="00B73963"/>
    <w:rsid w:val="00BE07C6"/>
    <w:rsid w:val="00C00541"/>
    <w:rsid w:val="00C05F36"/>
    <w:rsid w:val="00C156B5"/>
    <w:rsid w:val="00C24333"/>
    <w:rsid w:val="00C26A8F"/>
    <w:rsid w:val="00C76047"/>
    <w:rsid w:val="00C773ED"/>
    <w:rsid w:val="00C83426"/>
    <w:rsid w:val="00C92AD1"/>
    <w:rsid w:val="00C9529E"/>
    <w:rsid w:val="00CA3ED3"/>
    <w:rsid w:val="00CB456B"/>
    <w:rsid w:val="00CC4EFB"/>
    <w:rsid w:val="00CF2797"/>
    <w:rsid w:val="00D01C38"/>
    <w:rsid w:val="00D056C4"/>
    <w:rsid w:val="00D05D99"/>
    <w:rsid w:val="00D12765"/>
    <w:rsid w:val="00D530C4"/>
    <w:rsid w:val="00D62056"/>
    <w:rsid w:val="00D7097D"/>
    <w:rsid w:val="00D7384F"/>
    <w:rsid w:val="00D81B77"/>
    <w:rsid w:val="00D85284"/>
    <w:rsid w:val="00DB2674"/>
    <w:rsid w:val="00DF2992"/>
    <w:rsid w:val="00E23497"/>
    <w:rsid w:val="00E71867"/>
    <w:rsid w:val="00E85355"/>
    <w:rsid w:val="00E85588"/>
    <w:rsid w:val="00E942B8"/>
    <w:rsid w:val="00EA2E12"/>
    <w:rsid w:val="00EF4081"/>
    <w:rsid w:val="00F35CFE"/>
    <w:rsid w:val="00F42A05"/>
    <w:rsid w:val="00F64D51"/>
    <w:rsid w:val="00F778BA"/>
    <w:rsid w:val="00F92BE1"/>
    <w:rsid w:val="00F9704B"/>
    <w:rsid w:val="00FA1D9C"/>
    <w:rsid w:val="00FA4B10"/>
    <w:rsid w:val="00FB07B9"/>
    <w:rsid w:val="00FB6A00"/>
    <w:rsid w:val="00FC3AF4"/>
    <w:rsid w:val="00FE30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386"/>
    <w:pPr>
      <w:spacing w:after="0" w:line="240" w:lineRule="auto"/>
    </w:pPr>
    <w:rPr>
      <w:rFonts w:ascii="Times New Roman" w:eastAsia="Calibri" w:hAnsi="Times New Roman" w:cs="Times New Roman"/>
      <w:sz w:val="28"/>
      <w:szCs w:val="28"/>
      <w:lang w:eastAsia="uk-UA"/>
    </w:rPr>
  </w:style>
  <w:style w:type="paragraph" w:styleId="1">
    <w:name w:val="heading 1"/>
    <w:basedOn w:val="a"/>
    <w:next w:val="a"/>
    <w:link w:val="10"/>
    <w:qFormat/>
    <w:rsid w:val="00B50386"/>
    <w:pPr>
      <w:keepNext/>
      <w:outlineLvl w:val="0"/>
    </w:pPr>
    <w:rPr>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50386"/>
    <w:rPr>
      <w:rFonts w:ascii="Times New Roman" w:eastAsia="Calibri" w:hAnsi="Times New Roman" w:cs="Times New Roman"/>
      <w:sz w:val="28"/>
      <w:szCs w:val="28"/>
      <w:lang w:eastAsia="ru-RU"/>
    </w:rPr>
  </w:style>
  <w:style w:type="paragraph" w:styleId="a3">
    <w:name w:val="Body Text Indent"/>
    <w:basedOn w:val="a"/>
    <w:link w:val="a4"/>
    <w:semiHidden/>
    <w:rsid w:val="00B50386"/>
    <w:pPr>
      <w:spacing w:after="120"/>
      <w:ind w:left="283"/>
    </w:pPr>
  </w:style>
  <w:style w:type="character" w:customStyle="1" w:styleId="a4">
    <w:name w:val="Основний текст з відступом Знак"/>
    <w:basedOn w:val="a0"/>
    <w:link w:val="a3"/>
    <w:semiHidden/>
    <w:rsid w:val="00B50386"/>
    <w:rPr>
      <w:rFonts w:ascii="Times New Roman" w:eastAsia="Calibri" w:hAnsi="Times New Roman" w:cs="Times New Roman"/>
      <w:sz w:val="28"/>
      <w:szCs w:val="28"/>
      <w:lang w:eastAsia="uk-UA"/>
    </w:rPr>
  </w:style>
  <w:style w:type="paragraph" w:customStyle="1" w:styleId="11">
    <w:name w:val="Без интервала1"/>
    <w:rsid w:val="00B50386"/>
    <w:pPr>
      <w:spacing w:after="0" w:line="240" w:lineRule="auto"/>
    </w:pPr>
    <w:rPr>
      <w:rFonts w:ascii="Calibri" w:eastAsia="Calibri" w:hAnsi="Calibri" w:cs="Calibri"/>
      <w:lang w:eastAsia="uk-UA"/>
    </w:rPr>
  </w:style>
  <w:style w:type="character" w:customStyle="1" w:styleId="rvts44">
    <w:name w:val="rvts44"/>
    <w:basedOn w:val="a0"/>
    <w:rsid w:val="00B50386"/>
    <w:rPr>
      <w:rFonts w:cs="Times New Roman"/>
    </w:rPr>
  </w:style>
  <w:style w:type="paragraph" w:customStyle="1" w:styleId="rtejustify">
    <w:name w:val="rtejustify"/>
    <w:basedOn w:val="a"/>
    <w:rsid w:val="00B50386"/>
    <w:pPr>
      <w:spacing w:before="100" w:beforeAutospacing="1" w:after="100" w:afterAutospacing="1"/>
    </w:pPr>
    <w:rPr>
      <w:sz w:val="24"/>
      <w:szCs w:val="24"/>
      <w:lang w:val="ru-RU" w:eastAsia="ru-RU"/>
    </w:rPr>
  </w:style>
  <w:style w:type="paragraph" w:customStyle="1" w:styleId="12">
    <w:name w:val="Без інтервалів1"/>
    <w:rsid w:val="00B50386"/>
    <w:pPr>
      <w:spacing w:after="0" w:line="240" w:lineRule="auto"/>
    </w:pPr>
    <w:rPr>
      <w:rFonts w:ascii="Calibri" w:eastAsia="Calibri" w:hAnsi="Calibri" w:cs="Times New Roman"/>
      <w:lang w:eastAsia="uk-UA"/>
    </w:rPr>
  </w:style>
  <w:style w:type="character" w:customStyle="1" w:styleId="apple-converted-space">
    <w:name w:val="apple-converted-space"/>
    <w:basedOn w:val="a0"/>
    <w:rsid w:val="00C26A8F"/>
  </w:style>
  <w:style w:type="character" w:customStyle="1" w:styleId="highlightnode">
    <w:name w:val="highlightnode"/>
    <w:basedOn w:val="a0"/>
    <w:rsid w:val="00C26A8F"/>
  </w:style>
  <w:style w:type="character" w:styleId="a5">
    <w:name w:val="Hyperlink"/>
    <w:basedOn w:val="a0"/>
    <w:uiPriority w:val="99"/>
    <w:unhideWhenUsed/>
    <w:rsid w:val="0017198B"/>
    <w:rPr>
      <w:color w:val="0000FF" w:themeColor="hyperlink"/>
      <w:u w:val="single"/>
    </w:rPr>
  </w:style>
  <w:style w:type="paragraph" w:styleId="a6">
    <w:name w:val="header"/>
    <w:basedOn w:val="a"/>
    <w:link w:val="a7"/>
    <w:uiPriority w:val="99"/>
    <w:unhideWhenUsed/>
    <w:rsid w:val="00D81B77"/>
    <w:pPr>
      <w:tabs>
        <w:tab w:val="center" w:pos="4677"/>
        <w:tab w:val="right" w:pos="9355"/>
      </w:tabs>
    </w:pPr>
  </w:style>
  <w:style w:type="character" w:customStyle="1" w:styleId="a7">
    <w:name w:val="Верхній колонтитул Знак"/>
    <w:basedOn w:val="a0"/>
    <w:link w:val="a6"/>
    <w:uiPriority w:val="99"/>
    <w:rsid w:val="00D81B77"/>
    <w:rPr>
      <w:rFonts w:ascii="Times New Roman" w:eastAsia="Calibri" w:hAnsi="Times New Roman" w:cs="Times New Roman"/>
      <w:sz w:val="28"/>
      <w:szCs w:val="28"/>
      <w:lang w:eastAsia="uk-UA"/>
    </w:rPr>
  </w:style>
  <w:style w:type="paragraph" w:styleId="a8">
    <w:name w:val="footer"/>
    <w:basedOn w:val="a"/>
    <w:link w:val="a9"/>
    <w:uiPriority w:val="99"/>
    <w:semiHidden/>
    <w:unhideWhenUsed/>
    <w:rsid w:val="00D81B77"/>
    <w:pPr>
      <w:tabs>
        <w:tab w:val="center" w:pos="4677"/>
        <w:tab w:val="right" w:pos="9355"/>
      </w:tabs>
    </w:pPr>
  </w:style>
  <w:style w:type="character" w:customStyle="1" w:styleId="a9">
    <w:name w:val="Нижній колонтитул Знак"/>
    <w:basedOn w:val="a0"/>
    <w:link w:val="a8"/>
    <w:uiPriority w:val="99"/>
    <w:semiHidden/>
    <w:rsid w:val="00D81B77"/>
    <w:rPr>
      <w:rFonts w:ascii="Times New Roman" w:eastAsia="Calibri" w:hAnsi="Times New Roman" w:cs="Times New Roman"/>
      <w:sz w:val="28"/>
      <w:szCs w:val="28"/>
      <w:lang w:eastAsia="uk-UA"/>
    </w:rPr>
  </w:style>
  <w:style w:type="character" w:styleId="aa">
    <w:name w:val="Strong"/>
    <w:basedOn w:val="a0"/>
    <w:uiPriority w:val="22"/>
    <w:qFormat/>
    <w:rsid w:val="004702BA"/>
    <w:rPr>
      <w:b/>
      <w:bCs/>
    </w:rPr>
  </w:style>
  <w:style w:type="paragraph" w:styleId="ab">
    <w:name w:val="No Spacing"/>
    <w:link w:val="ac"/>
    <w:uiPriority w:val="99"/>
    <w:qFormat/>
    <w:rsid w:val="00A2411D"/>
    <w:pPr>
      <w:spacing w:after="0" w:line="240" w:lineRule="auto"/>
    </w:pPr>
    <w:rPr>
      <w:rFonts w:ascii="Calibri" w:eastAsia="Calibri" w:hAnsi="Calibri" w:cs="Times New Roman"/>
      <w:lang w:eastAsia="uk-UA"/>
    </w:rPr>
  </w:style>
  <w:style w:type="character" w:customStyle="1" w:styleId="ac">
    <w:name w:val="Без інтервалів Знак"/>
    <w:link w:val="ab"/>
    <w:uiPriority w:val="99"/>
    <w:locked/>
    <w:rsid w:val="00A2411D"/>
    <w:rPr>
      <w:rFonts w:ascii="Calibri" w:eastAsia="Calibri" w:hAnsi="Calibri" w:cs="Times New Roman"/>
      <w:lang w:eastAsia="uk-UA"/>
    </w:rPr>
  </w:style>
  <w:style w:type="paragraph" w:styleId="ad">
    <w:name w:val="Balloon Text"/>
    <w:basedOn w:val="a"/>
    <w:link w:val="ae"/>
    <w:uiPriority w:val="99"/>
    <w:semiHidden/>
    <w:unhideWhenUsed/>
    <w:rsid w:val="00C00541"/>
    <w:rPr>
      <w:rFonts w:ascii="Tahoma" w:hAnsi="Tahoma" w:cs="Tahoma"/>
      <w:sz w:val="16"/>
      <w:szCs w:val="16"/>
    </w:rPr>
  </w:style>
  <w:style w:type="character" w:customStyle="1" w:styleId="ae">
    <w:name w:val="Текст у виносці Знак"/>
    <w:basedOn w:val="a0"/>
    <w:link w:val="ad"/>
    <w:uiPriority w:val="99"/>
    <w:semiHidden/>
    <w:rsid w:val="00C00541"/>
    <w:rPr>
      <w:rFonts w:ascii="Tahoma" w:eastAsia="Calibri" w:hAnsi="Tahoma" w:cs="Tahoma"/>
      <w:sz w:val="16"/>
      <w:szCs w:val="16"/>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386"/>
    <w:pPr>
      <w:spacing w:after="0" w:line="240" w:lineRule="auto"/>
    </w:pPr>
    <w:rPr>
      <w:rFonts w:ascii="Times New Roman" w:eastAsia="Calibri" w:hAnsi="Times New Roman" w:cs="Times New Roman"/>
      <w:sz w:val="28"/>
      <w:szCs w:val="28"/>
      <w:lang w:eastAsia="uk-UA"/>
    </w:rPr>
  </w:style>
  <w:style w:type="paragraph" w:styleId="1">
    <w:name w:val="heading 1"/>
    <w:basedOn w:val="a"/>
    <w:next w:val="a"/>
    <w:link w:val="10"/>
    <w:qFormat/>
    <w:rsid w:val="00B50386"/>
    <w:pPr>
      <w:keepNext/>
      <w:outlineLvl w:val="0"/>
    </w:pPr>
    <w:rP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50386"/>
    <w:rPr>
      <w:rFonts w:ascii="Times New Roman" w:eastAsia="Calibri" w:hAnsi="Times New Roman" w:cs="Times New Roman"/>
      <w:sz w:val="28"/>
      <w:szCs w:val="28"/>
      <w:lang w:eastAsia="ru-RU"/>
    </w:rPr>
  </w:style>
  <w:style w:type="paragraph" w:styleId="a3">
    <w:name w:val="Body Text Indent"/>
    <w:basedOn w:val="a"/>
    <w:link w:val="a4"/>
    <w:semiHidden/>
    <w:rsid w:val="00B50386"/>
    <w:pPr>
      <w:spacing w:after="120"/>
      <w:ind w:left="283"/>
    </w:pPr>
  </w:style>
  <w:style w:type="character" w:customStyle="1" w:styleId="a4">
    <w:name w:val="Основной текст с отступом Знак"/>
    <w:basedOn w:val="a0"/>
    <w:link w:val="a3"/>
    <w:semiHidden/>
    <w:rsid w:val="00B50386"/>
    <w:rPr>
      <w:rFonts w:ascii="Times New Roman" w:eastAsia="Calibri" w:hAnsi="Times New Roman" w:cs="Times New Roman"/>
      <w:sz w:val="28"/>
      <w:szCs w:val="28"/>
      <w:lang w:eastAsia="uk-UA"/>
    </w:rPr>
  </w:style>
  <w:style w:type="paragraph" w:customStyle="1" w:styleId="11">
    <w:name w:val="Без интервала1"/>
    <w:rsid w:val="00B50386"/>
    <w:pPr>
      <w:spacing w:after="0" w:line="240" w:lineRule="auto"/>
    </w:pPr>
    <w:rPr>
      <w:rFonts w:ascii="Calibri" w:eastAsia="Calibri" w:hAnsi="Calibri" w:cs="Calibri"/>
      <w:lang w:eastAsia="uk-UA"/>
    </w:rPr>
  </w:style>
  <w:style w:type="character" w:customStyle="1" w:styleId="rvts44">
    <w:name w:val="rvts44"/>
    <w:basedOn w:val="a0"/>
    <w:rsid w:val="00B50386"/>
    <w:rPr>
      <w:rFonts w:cs="Times New Roman"/>
    </w:rPr>
  </w:style>
  <w:style w:type="paragraph" w:customStyle="1" w:styleId="rtejustify">
    <w:name w:val="rtejustify"/>
    <w:basedOn w:val="a"/>
    <w:rsid w:val="00B50386"/>
    <w:pPr>
      <w:spacing w:before="100" w:beforeAutospacing="1" w:after="100" w:afterAutospacing="1"/>
    </w:pPr>
    <w:rPr>
      <w:sz w:val="24"/>
      <w:szCs w:val="24"/>
      <w:lang w:val="ru-RU" w:eastAsia="ru-RU"/>
    </w:rPr>
  </w:style>
  <w:style w:type="paragraph" w:customStyle="1" w:styleId="a5">
    <w:name w:val="Без інтервалів"/>
    <w:rsid w:val="00B50386"/>
    <w:pPr>
      <w:spacing w:after="0" w:line="240" w:lineRule="auto"/>
    </w:pPr>
    <w:rPr>
      <w:rFonts w:ascii="Calibri" w:eastAsia="Calibri" w:hAnsi="Calibri" w:cs="Times New Roman"/>
      <w:lang w:eastAsia="uk-UA"/>
    </w:rPr>
  </w:style>
  <w:style w:type="character" w:customStyle="1" w:styleId="apple-converted-space">
    <w:name w:val="apple-converted-space"/>
    <w:basedOn w:val="a0"/>
    <w:rsid w:val="00C26A8F"/>
  </w:style>
  <w:style w:type="character" w:customStyle="1" w:styleId="highlightnode">
    <w:name w:val="highlightnode"/>
    <w:basedOn w:val="a0"/>
    <w:rsid w:val="00C26A8F"/>
  </w:style>
  <w:style w:type="character" w:styleId="a6">
    <w:name w:val="Hyperlink"/>
    <w:basedOn w:val="a0"/>
    <w:uiPriority w:val="99"/>
    <w:unhideWhenUsed/>
    <w:rsid w:val="0017198B"/>
    <w:rPr>
      <w:color w:val="0000FF" w:themeColor="hyperlink"/>
      <w:u w:val="single"/>
    </w:rPr>
  </w:style>
  <w:style w:type="paragraph" w:styleId="a7">
    <w:name w:val="header"/>
    <w:basedOn w:val="a"/>
    <w:link w:val="a8"/>
    <w:uiPriority w:val="99"/>
    <w:unhideWhenUsed/>
    <w:rsid w:val="00D81B77"/>
    <w:pPr>
      <w:tabs>
        <w:tab w:val="center" w:pos="4677"/>
        <w:tab w:val="right" w:pos="9355"/>
      </w:tabs>
    </w:pPr>
  </w:style>
  <w:style w:type="character" w:customStyle="1" w:styleId="a8">
    <w:name w:val="Верхний колонтитул Знак"/>
    <w:basedOn w:val="a0"/>
    <w:link w:val="a7"/>
    <w:uiPriority w:val="99"/>
    <w:rsid w:val="00D81B77"/>
    <w:rPr>
      <w:rFonts w:ascii="Times New Roman" w:eastAsia="Calibri" w:hAnsi="Times New Roman" w:cs="Times New Roman"/>
      <w:sz w:val="28"/>
      <w:szCs w:val="28"/>
      <w:lang w:eastAsia="uk-UA"/>
    </w:rPr>
  </w:style>
  <w:style w:type="paragraph" w:styleId="a9">
    <w:name w:val="footer"/>
    <w:basedOn w:val="a"/>
    <w:link w:val="aa"/>
    <w:uiPriority w:val="99"/>
    <w:semiHidden/>
    <w:unhideWhenUsed/>
    <w:rsid w:val="00D81B77"/>
    <w:pPr>
      <w:tabs>
        <w:tab w:val="center" w:pos="4677"/>
        <w:tab w:val="right" w:pos="9355"/>
      </w:tabs>
    </w:pPr>
  </w:style>
  <w:style w:type="character" w:customStyle="1" w:styleId="aa">
    <w:name w:val="Нижний колонтитул Знак"/>
    <w:basedOn w:val="a0"/>
    <w:link w:val="a9"/>
    <w:uiPriority w:val="99"/>
    <w:semiHidden/>
    <w:rsid w:val="00D81B77"/>
    <w:rPr>
      <w:rFonts w:ascii="Times New Roman" w:eastAsia="Calibri" w:hAnsi="Times New Roman" w:cs="Times New Roman"/>
      <w:sz w:val="28"/>
      <w:szCs w:val="28"/>
      <w:lang w:eastAsia="uk-UA"/>
    </w:rPr>
  </w:style>
  <w:style w:type="character" w:styleId="ab">
    <w:name w:val="Strong"/>
    <w:basedOn w:val="a0"/>
    <w:uiPriority w:val="22"/>
    <w:qFormat/>
    <w:rsid w:val="004702BA"/>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koda.gov.ua/uploads/editor/bukoda.gov.ua/&#1088;&#1077;&#1075;&#1091;&#1083;&#1103;&#1090;&#1086;&#1088;&#1085;&#1072;%20&#1076;&#1110;&#1103;&#1083;&#1100;&#1085;&#1110;&#1089;&#1090;&#1100;/plan%20regdiyal.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ukoda.gov.ua/"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s://bukoda.gov.ua/page/group/175" TargetMode="External"/><Relationship Id="rId4" Type="http://schemas.openxmlformats.org/officeDocument/2006/relationships/webSettings" Target="webSettings.xml"/><Relationship Id="rId9" Type="http://schemas.openxmlformats.org/officeDocument/2006/relationships/hyperlink" Target="https://bukoda.gov.ua/uploads/editor/bukoda.gov.ua/&#1088;&#1077;&#1075;&#1091;&#1083;&#1103;&#1090;&#1086;&#1088;&#1085;&#1072;%20&#1076;&#1110;&#1103;&#1083;&#1100;&#1085;&#1110;&#1089;&#1090;&#1100;/plan-grafik_0.pd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17240-912A-4E4D-A614-B27DDD542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481</TotalTime>
  <Pages>5</Pages>
  <Words>1918</Words>
  <Characters>10935</Characters>
  <Application>Microsoft Office Word</Application>
  <DocSecurity>0</DocSecurity>
  <Lines>91</Lines>
  <Paragraphs>25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ODA</Company>
  <LinksUpToDate>false</LinksUpToDate>
  <CharactersWithSpaces>12828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1</cp:lastModifiedBy>
  <cp:revision>52</cp:revision>
  <cp:lastPrinted>2020-01-30T13:41:00Z</cp:lastPrinted>
  <dcterms:created xsi:type="dcterms:W3CDTF">2018-04-16T13:12:00Z</dcterms:created>
  <dcterms:modified xsi:type="dcterms:W3CDTF">2020-01-31T11:05:00Z</dcterms:modified>
</cp:coreProperties>
</file>