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D942" w14:textId="77777777" w:rsidR="009D34C5" w:rsidRPr="00DE4CDF" w:rsidRDefault="009D34C5" w:rsidP="00DE4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Методичні роз’яснення щодо </w:t>
      </w:r>
      <w:r w:rsidR="00DE4CDF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регуляторності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рішень органів місцевого самоврядування  про встановлення місцевих податків і зборів </w:t>
      </w:r>
      <w:r w:rsidR="00FA7A02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розрізі 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постанови Верховного суду від 10.12.2021 у справі № 0940/2301/18</w:t>
      </w:r>
    </w:p>
    <w:p w14:paraId="70888673" w14:textId="77777777" w:rsidR="00FA7A02" w:rsidRDefault="00FA7A02" w:rsidP="009D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09AE2F0" w14:textId="77777777" w:rsid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судової справи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8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0940/2301/18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Верховним судом сформовано висновок про те, що рішення ОМС про встановлення місцевих податків і зборів не вважаються регуляторними актами.</w:t>
      </w:r>
    </w:p>
    <w:p w14:paraId="1100E017" w14:textId="77777777" w:rsidR="00335F9D" w:rsidRP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зв’язку з цим, ДРС надає такі роз’яснення: </w:t>
      </w:r>
    </w:p>
    <w:p w14:paraId="69A19018" w14:textId="77777777" w:rsidR="00335F9D" w:rsidRDefault="00335F9D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21DC55" w14:textId="3BD68673" w:rsidR="00DE4CDF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ДРС є уповноваженим органом у сфері реалізації державної регуляторної політики та наділена рядом спеціальних повноважень, визначених у ст. 30 Закону України «Про засади державної регуляторної політики у сфері господарської діяльності»</w:t>
      </w:r>
      <w:r w:rsidR="0098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(далі – Закон)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Положенні про ДРС тощо.</w:t>
      </w:r>
    </w:p>
    <w:p w14:paraId="4172A09E" w14:textId="61F0F038" w:rsidR="009836A9" w:rsidRPr="00E14BE7" w:rsidRDefault="009836A9" w:rsidP="00983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вимог статті 1 Закону </w:t>
      </w:r>
      <w:r w:rsidRPr="00E1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ОМС про встановлення місцевих податків і зборів мають ознаки регуляторних актів</w:t>
      </w: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оскільки ці рішення спрямовані на правове регулювання господарських відносин та щодо невизначеного кола осіб на відповідній адміністративно-територіальній одиниці, а також</w:t>
      </w:r>
      <w:r w:rsidR="00E14BE7"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встановлюють (змінюють) норми права для суб’єктів господарювання в частині розміру ставок податку, який має суттєвий вплив на результати ведення господарської діяльності.</w:t>
      </w:r>
    </w:p>
    <w:p w14:paraId="0C0E8D23" w14:textId="7BB7767D" w:rsidR="00DE4CDF" w:rsidRDefault="00E14B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Разом з цим, в</w:t>
      </w:r>
      <w:r w:rsidR="00DE4C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іднесення того чи іншого проекту акта чи вже прийнятого акта до категорії регуляторних є виключною компетенцією ДРС, її дискреційним повноваженням.</w:t>
      </w:r>
    </w:p>
    <w:p w14:paraId="25492CB1" w14:textId="77777777" w:rsidR="00B81F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Акт вважається регуляторним, якщо хоча б одна з норм у ньому регулює господарські або адміністративні відносини між владою та бізнесом. </w:t>
      </w:r>
    </w:p>
    <w:p w14:paraId="034445E4" w14:textId="623DA350" w:rsidR="00B81FE7" w:rsidRPr="00E14B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Факт наявності чи відсутності регуляторних норм у конкретному проекті акта можливо встановити лише після вивчення його повного тексту та додатків до нього. </w:t>
      </w:r>
      <w:r w:rsidRPr="00E14B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Встановлення цього факту є дискреційним повноваженням ДРС.</w:t>
      </w:r>
    </w:p>
    <w:p w14:paraId="6D39E928" w14:textId="77777777" w:rsidR="00DE4CDF" w:rsidRDefault="00DE4CDF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1B29F9D" w14:textId="124879AF" w:rsidR="009D34C5" w:rsidRPr="009D34C5" w:rsidRDefault="00411790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48ED" wp14:editId="4A149297">
                <wp:simplePos x="0" y="0"/>
                <wp:positionH relativeFrom="column">
                  <wp:posOffset>-811530</wp:posOffset>
                </wp:positionH>
                <wp:positionV relativeFrom="paragraph">
                  <wp:posOffset>969645</wp:posOffset>
                </wp:positionV>
                <wp:extent cx="571500" cy="1917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96498" w14:textId="77777777" w:rsidR="009D34C5" w:rsidRPr="008461DD" w:rsidRDefault="009D34C5" w:rsidP="009D34C5">
                            <w:pPr>
                              <w:rPr>
                                <w:rFonts w:ascii="EAN13B Half Height" w:hAnsi="EAN13B Half Heigh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mongolian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CB48E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3.9pt;margin-top:76.35pt;width:4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" stroked="f">
                <v:textbox style="layout-flow:vertical;mso-layout-flow-alt:top-to-bottom">
                  <w:txbxContent>
                    <w:p w14:paraId="5FB96498" w14:textId="77777777" w:rsidR="009D34C5" w:rsidRPr="008461DD" w:rsidRDefault="009D34C5" w:rsidP="009D34C5">
                      <w:pPr>
                        <w:rPr>
                          <w:rFonts w:ascii="EAN13B Half Height" w:hAnsi="EAN13B Half Heigh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з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гідно з позицією Верховного Суду, яка сформована у постановах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від 13.02.2018 у справі № 361/7567/15-а, від 07.03.2018 у справі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569/15527/16-а, від 20.03.2018 у справі № 61/2579/17, від 20.03.2018 у справі № 820/4554/17, від 03.04.2018 у справі № 569/16681/16-а та від 12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.04.2018 у справі № 826/8803/15та інших</w:t>
      </w:r>
      <w:r w:rsidR="00B81FE7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D34C5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«дискреційні повноваження - це можливість діяти за власним розсудом, в межах </w:t>
      </w:r>
      <w:hyperlink r:id="rId7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можливість застосувати норми </w:t>
      </w:r>
      <w:hyperlink r:id="rId8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 та вчинити конкретні дії (або дію) серед інших, кожні з яких окремо є відносно правильними (законними); відповідно до завдань адміністративного судочинства, визначених </w:t>
      </w:r>
      <w:hyperlink r:id="rId9" w:anchor="1432" w:tgtFrame="_blank" w:tooltip="Кодекс адміністративного судочинства України (ред. з 06.07.2005 до 15.12.2017); нормативно-правовий акт № 2747-IV від 06.07.2005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статтею 2 КАС України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адміністративний суд не наділений повноваженнями втручатися у вільний розсуд (</w:t>
      </w:r>
      <w:proofErr w:type="spellStart"/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дискрецію</w:t>
      </w:r>
      <w:proofErr w:type="spellEnd"/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 суб'єкта владних повноважень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поза межами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перевірки за критеріями визначеними статтею; завдання правосуддя полягає не у забезпеченні ефективності державного управління, а в гарантуванні дотримання вимог права,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інакше порушується принцип розподілу влади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принцип розподілу влади заперечує надання адміністративному суду адміністративно - дискреційних повноважень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єдиним критерієм здійснення правосуддя є право, тому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завданням адміністративного судочинства завжди є контроль легальності; перевірка доцільності переступає компетенцію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адміністративного суду і виходить за межі адміністративного судочинства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; адміністративний суд не може підміняти інший орган державної влади та перебирати на себе повноваження щодо вирішення питань, які законодавством віднесенні до компетенції цього органу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1CA23329" w14:textId="77777777"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чином, 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 може підміняти інший орган державної влади та перебирати на себе повноваження щодо вирішення питань, які законодавством віднесені до компетенції цього органу державної влади.</w:t>
      </w:r>
    </w:p>
    <w:p w14:paraId="15917FAB" w14:textId="77777777" w:rsidR="009D34C5" w:rsidRPr="00B81FE7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саме ДРС вправі реалізовувати державну регуляторну політику та висловлювати позицію</w:t>
      </w: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щодо віднесення акта чи іншого документа до категорії регуляторного акта, 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 не адміністративний суд чи </w:t>
      </w:r>
      <w:r w:rsidR="00FA7A02"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інший орган влади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09DB7973" w14:textId="77777777"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14E57D8" w14:textId="77777777" w:rsidR="00FA7A02" w:rsidRDefault="00FA7A02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8CFC4B" w14:textId="47C28E5F" w:rsidR="00853389" w:rsidRPr="00335F9D" w:rsidRDefault="00E14BE7" w:rsidP="0033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853389" w:rsidRP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38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2015 – 2018 роках на виконання вимог законів України від 28.12.2014 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br/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№ 71-VIII «Про внесення змін до Податкового кодексу України та деяких законодавчих актів України щодо податкової реформи», від 24.12.2015 № 909-VIII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від 20.12.2016 №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1791-VIII «Про внесення змін до Податкового кодексу України щодо покращення інвестиційного клімату в Україні», від 21.12.2016 № 1797-VI «Про внесення змін до Податкового кодексу України щодо покращення інвестиційного клімату в Україні», від 07.12.2017 № 2245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</w:t>
      </w:r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до рішень органів місцевого самоврядування про встановлення місцевих податків і зборів, які прийняті на виконання цих законів, не </w:t>
      </w:r>
      <w:bookmarkStart w:id="1" w:name="_Hlk44591696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>застосовувалися вимоги</w:t>
      </w:r>
      <w:bookmarkEnd w:id="1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, встановлені </w:t>
      </w:r>
      <w:r w:rsidR="00853389" w:rsidRPr="00335F9D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335F9D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України «Про засади державної регуляторної політики у сфері господарської діяльності»</w:t>
      </w:r>
    </w:p>
    <w:p w14:paraId="6CB7A8C7" w14:textId="77777777" w:rsidR="00853389" w:rsidRPr="00853389" w:rsidRDefault="00335F9D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введення та тимчасовість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відповідних обмежень свідчить 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законодавче визнання поширення вимог закону у сфері регуляторної політики та рішення ОМС про встановлення місцевих податків та зборів, а також про 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відсутність бажання змінити чи скасувати дію означених норм щодо означеного кола правовідносин назавжди, тобто про усвідомлення законодавцем їх важливості для сталого й передбачуваного правозастосування у сфері адміністрування окремих податків та визнання необхідності залишити їх чинними після закінчення обставин, що спричинили бюджетну потребу у їх зупиненні.</w:t>
      </w:r>
    </w:p>
    <w:p w14:paraId="5CD2CAD5" w14:textId="77777777" w:rsidR="00853389" w:rsidRPr="00853389" w:rsidRDefault="00853389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Незмінність змісту безпосередньо самих зупинених законодавчих приписів означає визнання законодавцем їх відповідності та узгодженості з Конституцією та іншими законами України з питань оподаткування.</w:t>
      </w:r>
    </w:p>
    <w:p w14:paraId="1DBC46FD" w14:textId="77777777" w:rsidR="00853389" w:rsidRPr="00853389" w:rsidRDefault="00853389" w:rsidP="00853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Невнесення змін безпосередньо до тексту П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t>одаткового Кодексу</w:t>
      </w:r>
      <w:r w:rsidRPr="00853389">
        <w:rPr>
          <w:rFonts w:ascii="Times New Roman" w:eastAsia="Times New Roman" w:hAnsi="Times New Roman" w:cs="Times New Roman"/>
          <w:sz w:val="28"/>
          <w:szCs w:val="28"/>
        </w:rPr>
        <w:t xml:space="preserve"> України додатково свідчить про небажання законодавця дискримінувати платників окремих податків порівняно з іншими.</w:t>
      </w:r>
    </w:p>
    <w:p w14:paraId="5AFC2A2E" w14:textId="77777777" w:rsidR="00853389" w:rsidRDefault="00853389" w:rsidP="00BE480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30A95AA" w14:textId="6044F585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Підсумовуючи зазначаємо, що сама лише постанова Верховного суду, прийнята відносно конкретного рішення, не свідчить про презумпцію того, що рішення ОМС про встановлення місцевих податків та зборів не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регуляторними актами</w:t>
      </w:r>
      <w:r w:rsidR="00411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="00411790"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являється оціночним твердженням, викладеним у мотивувальній частині цієї постанови</w:t>
      </w:r>
      <w:r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</w:p>
    <w:p w14:paraId="508BE2A1" w14:textId="08500CAB" w:rsidR="00D05DEC" w:rsidRPr="00D05DEC" w:rsidRDefault="00D05DE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Одночасно зазначаємо, що віднесення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рішень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категорії регуляторних актів можливе лише за умови аналізу ДРС їх повного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офіційного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тексту. </w:t>
      </w:r>
    </w:p>
    <w:p w14:paraId="581C8FDF" w14:textId="77777777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Висновок про віднесення конкретного проекту акта до категорії регуляторних може сформувати лише уповноважений орган – ДРС.</w:t>
      </w:r>
    </w:p>
    <w:p w14:paraId="5AC8342E" w14:textId="77777777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огляду на положення ст. 19 Конституції України, ОМС мають діяти в межах та спосіб, передбачені саме законом, а не керуватися принципом судового прецеденту.</w:t>
      </w:r>
    </w:p>
    <w:p w14:paraId="4D869E34" w14:textId="77777777" w:rsidR="00CC626C" w:rsidRPr="009D34C5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701465" w14:textId="77777777" w:rsidR="001E6E4A" w:rsidRDefault="001E6E4A"/>
    <w:sectPr w:rsidR="001E6E4A" w:rsidSect="00151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0CF"/>
    <w:multiLevelType w:val="hybridMultilevel"/>
    <w:tmpl w:val="B44A2F48"/>
    <w:lvl w:ilvl="0" w:tplc="97BA5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B0E77"/>
    <w:multiLevelType w:val="hybridMultilevel"/>
    <w:tmpl w:val="9EC69D40"/>
    <w:lvl w:ilvl="0" w:tplc="F31E50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54610E"/>
    <w:multiLevelType w:val="hybridMultilevel"/>
    <w:tmpl w:val="81C00ECC"/>
    <w:lvl w:ilvl="0" w:tplc="EEF6F3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67F3D"/>
    <w:multiLevelType w:val="hybridMultilevel"/>
    <w:tmpl w:val="DEF4DECA"/>
    <w:lvl w:ilvl="0" w:tplc="CB644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D0428A"/>
    <w:multiLevelType w:val="hybridMultilevel"/>
    <w:tmpl w:val="29561F9C"/>
    <w:lvl w:ilvl="0" w:tplc="9E84D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63538E"/>
    <w:multiLevelType w:val="hybridMultilevel"/>
    <w:tmpl w:val="4942F26C"/>
    <w:lvl w:ilvl="0" w:tplc="908A83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5"/>
    <w:rsid w:val="00151C54"/>
    <w:rsid w:val="001E6E4A"/>
    <w:rsid w:val="002617DC"/>
    <w:rsid w:val="002D4305"/>
    <w:rsid w:val="00335F9D"/>
    <w:rsid w:val="00394E34"/>
    <w:rsid w:val="00407BB9"/>
    <w:rsid w:val="00411790"/>
    <w:rsid w:val="00585C01"/>
    <w:rsid w:val="005C2C3C"/>
    <w:rsid w:val="00853389"/>
    <w:rsid w:val="008A36B0"/>
    <w:rsid w:val="009836A9"/>
    <w:rsid w:val="009D34C5"/>
    <w:rsid w:val="00B26B4B"/>
    <w:rsid w:val="00B81FE7"/>
    <w:rsid w:val="00BE4802"/>
    <w:rsid w:val="00C42E3D"/>
    <w:rsid w:val="00CC626C"/>
    <w:rsid w:val="00D049E7"/>
    <w:rsid w:val="00D05DEC"/>
    <w:rsid w:val="00DE4CDF"/>
    <w:rsid w:val="00E04A0D"/>
    <w:rsid w:val="00E14BE7"/>
    <w:rsid w:val="00F65321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D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2"/>
    <w:pPr>
      <w:ind w:left="720"/>
      <w:contextualSpacing/>
    </w:pPr>
  </w:style>
  <w:style w:type="character" w:styleId="a4">
    <w:name w:val="Strong"/>
    <w:basedOn w:val="a0"/>
    <w:uiPriority w:val="22"/>
    <w:qFormat/>
    <w:rsid w:val="009836A9"/>
    <w:rPr>
      <w:b/>
      <w:bCs/>
    </w:rPr>
  </w:style>
  <w:style w:type="character" w:customStyle="1" w:styleId="2">
    <w:name w:val="Основной текст (2)_"/>
    <w:link w:val="20"/>
    <w:rsid w:val="0041179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790"/>
    <w:pPr>
      <w:widowControl w:val="0"/>
      <w:shd w:val="clear" w:color="auto" w:fill="FFFFFF"/>
      <w:spacing w:before="420" w:after="0" w:line="331" w:lineRule="exact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2"/>
    <w:pPr>
      <w:ind w:left="720"/>
      <w:contextualSpacing/>
    </w:pPr>
  </w:style>
  <w:style w:type="character" w:styleId="a4">
    <w:name w:val="Strong"/>
    <w:basedOn w:val="a0"/>
    <w:uiPriority w:val="22"/>
    <w:qFormat/>
    <w:rsid w:val="009836A9"/>
    <w:rPr>
      <w:b/>
      <w:bCs/>
    </w:rPr>
  </w:style>
  <w:style w:type="character" w:customStyle="1" w:styleId="2">
    <w:name w:val="Основной текст (2)_"/>
    <w:link w:val="20"/>
    <w:rsid w:val="0041179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790"/>
    <w:pPr>
      <w:widowControl w:val="0"/>
      <w:shd w:val="clear" w:color="auto" w:fill="FFFFFF"/>
      <w:spacing w:before="420" w:after="0" w:line="331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5_06_02/pravo1/T041808.html?pravo=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ed_2015_06_02/pravo1/T041808.html?prav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an_1432/ed_2017_08_03/pravo1/T052747.html?pravo=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71C8-3D9F-4614-8EA1-C45A7249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4508</Words>
  <Characters>2571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Мандзюк</dc:creator>
  <cp:lastModifiedBy>OKSANA</cp:lastModifiedBy>
  <cp:revision>2</cp:revision>
  <dcterms:created xsi:type="dcterms:W3CDTF">2022-01-14T12:15:00Z</dcterms:created>
  <dcterms:modified xsi:type="dcterms:W3CDTF">2022-01-14T12:15:00Z</dcterms:modified>
</cp:coreProperties>
</file>